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143510</wp:posOffset>
            </wp:positionH>
            <wp:positionV relativeFrom="page">
              <wp:posOffset>107950</wp:posOffset>
            </wp:positionV>
            <wp:extent cx="727392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3925" cy="342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192405</wp:posOffset>
            </wp:positionV>
            <wp:extent cx="88582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85825" cy="6985"/>
                    </a:xfrm>
                    <a:prstGeom prst="rect">
                      <a:avLst/>
                    </a:prstGeom>
                    <a:noFill/>
                  </pic:spPr>
                </pic:pic>
              </a:graphicData>
            </a:graphic>
          </wp:anchor>
        </w:drawing>
      </w:r>
    </w:p>
    <w:p>
      <w:pPr>
        <w:spacing w:after="0" w:line="200" w:lineRule="exact"/>
        <w:rPr>
          <w:sz w:val="24"/>
          <w:szCs w:val="24"/>
          <w:color w:val="auto"/>
        </w:rPr>
      </w:pPr>
    </w:p>
    <w:p>
      <w:pPr>
        <w:spacing w:after="0" w:line="36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3185160</wp:posOffset>
            </wp:positionH>
            <wp:positionV relativeFrom="paragraph">
              <wp:posOffset>195580</wp:posOffset>
            </wp:positionV>
            <wp:extent cx="88582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5825" cy="6985"/>
                    </a:xfrm>
                    <a:prstGeom prst="rect">
                      <a:avLst/>
                    </a:prstGeom>
                    <a:noFill/>
                  </pic:spPr>
                </pic:pic>
              </a:graphicData>
            </a:graphic>
          </wp:anchor>
        </w:drawing>
      </w:r>
    </w:p>
    <w:p>
      <w:pPr>
        <w:spacing w:after="0" w:line="37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(Mark one)</w:t>
      </w:r>
    </w:p>
    <w:p>
      <w:pPr>
        <w:spacing w:after="0" w:line="22" w:lineRule="exact"/>
        <w:rPr>
          <w:sz w:val="24"/>
          <w:szCs w:val="24"/>
          <w:color w:val="auto"/>
        </w:rPr>
      </w:pPr>
    </w:p>
    <w:p>
      <w:pPr>
        <w:ind w:left="4480" w:right="3380" w:hanging="3809"/>
        <w:spacing w:after="0" w:line="527" w:lineRule="auto"/>
        <w:tabs>
          <w:tab w:leader="none" w:pos="1081" w:val="left"/>
        </w:tabs>
        <w:numPr>
          <w:ilvl w:val="0"/>
          <w:numId w:val="1"/>
        </w:numPr>
        <w:rPr>
          <w:rFonts w:ascii="Arial" w:cs="Arial" w:eastAsia="Arial" w:hAnsi="Arial"/>
          <w:sz w:val="15"/>
          <w:szCs w:val="15"/>
          <w:color w:val="auto"/>
        </w:rPr>
      </w:pPr>
      <w:r>
        <w:rPr>
          <w:rFonts w:ascii="Arial" w:cs="Arial" w:eastAsia="Arial" w:hAnsi="Arial"/>
          <w:sz w:val="15"/>
          <w:szCs w:val="15"/>
          <w:color w:val="auto"/>
        </w:rPr>
        <w:t>ANNUAL REPORT PURSUANT TO SECTION 13 or 15 (d) OF THE SECURITIES EXCHANGE ACT OF 1934 For the Fiscal Year ended April 30, 2014</w:t>
      </w:r>
    </w:p>
    <w:p>
      <w:pPr>
        <w:ind w:left="5600"/>
        <w:spacing w:after="0"/>
        <w:rPr>
          <w:rFonts w:ascii="Arial" w:cs="Arial" w:eastAsia="Arial" w:hAnsi="Arial"/>
          <w:sz w:val="15"/>
          <w:szCs w:val="15"/>
          <w:color w:val="auto"/>
        </w:rPr>
      </w:pPr>
      <w:r>
        <w:rPr>
          <w:rFonts w:ascii="Arial" w:cs="Arial" w:eastAsia="Arial" w:hAnsi="Arial"/>
          <w:sz w:val="15"/>
          <w:szCs w:val="15"/>
          <w:b w:val="1"/>
          <w:bCs w:val="1"/>
          <w:color w:val="auto"/>
        </w:rPr>
        <w:t>OR</w:t>
      </w:r>
    </w:p>
    <w:p>
      <w:pPr>
        <w:spacing w:after="0" w:line="217" w:lineRule="exact"/>
        <w:rPr>
          <w:sz w:val="24"/>
          <w:szCs w:val="24"/>
          <w:color w:val="auto"/>
        </w:rPr>
      </w:pPr>
    </w:p>
    <w:p>
      <w:pPr>
        <w:ind w:left="3940" w:right="3100" w:hanging="3269"/>
        <w:spacing w:after="0" w:line="536" w:lineRule="auto"/>
        <w:tabs>
          <w:tab w:leader="none" w:pos="1076" w:val="left"/>
        </w:tabs>
        <w:numPr>
          <w:ilvl w:val="0"/>
          <w:numId w:val="2"/>
        </w:numPr>
        <w:rPr>
          <w:rFonts w:ascii="Arial" w:cs="Arial" w:eastAsia="Arial" w:hAnsi="Arial"/>
          <w:sz w:val="15"/>
          <w:szCs w:val="15"/>
          <w:color w:val="auto"/>
        </w:rPr>
      </w:pPr>
      <w:r>
        <w:rPr>
          <w:rFonts w:ascii="Arial" w:cs="Arial" w:eastAsia="Arial" w:hAnsi="Arial"/>
          <w:sz w:val="15"/>
          <w:szCs w:val="15"/>
          <w:color w:val="auto"/>
        </w:rPr>
        <w:t>TRANSITION REPORT PURSUANT TO SECTION 13 or 15 (d) OF THE SECURITIES EXCHANGE ACT OF 1934 For the transition period from __________ to __________</w:t>
      </w:r>
    </w:p>
    <w:p>
      <w:pPr>
        <w:ind w:left="4840"/>
        <w:spacing w:after="0"/>
        <w:rPr>
          <w:rFonts w:ascii="Arial" w:cs="Arial" w:eastAsia="Arial" w:hAnsi="Arial"/>
          <w:sz w:val="15"/>
          <w:szCs w:val="15"/>
          <w:color w:val="auto"/>
        </w:rPr>
      </w:pPr>
      <w:r>
        <w:rPr>
          <w:rFonts w:ascii="Arial" w:cs="Arial" w:eastAsia="Arial" w:hAnsi="Arial"/>
          <w:sz w:val="15"/>
          <w:szCs w:val="15"/>
          <w:color w:val="auto"/>
        </w:rPr>
        <w:t>Commission File No. 1-8061</w:t>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27"/>
          <w:szCs w:val="27"/>
          <w:b w:val="1"/>
          <w:bCs w:val="1"/>
          <w:u w:val="single" w:color="auto"/>
          <w:color w:val="auto"/>
        </w:rPr>
        <w:t>FREQUENCY ELECTRONICS, INC.</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87" w:lineRule="exact"/>
        <w:rPr>
          <w:sz w:val="24"/>
          <w:szCs w:val="24"/>
          <w:color w:val="auto"/>
        </w:rPr>
      </w:pPr>
    </w:p>
    <w:tbl>
      <w:tblPr>
        <w:tblLayout w:type="fixed"/>
        <w:tblInd w:w="740" w:type="dxa"/>
        <w:tblCellMar>
          <w:top w:w="0" w:type="dxa"/>
          <w:left w:w="0" w:type="dxa"/>
          <w:bottom w:w="0" w:type="dxa"/>
          <w:right w:w="0" w:type="dxa"/>
        </w:tblCellMar>
      </w:tblPr>
      <w:tr>
        <w:trPr>
          <w:trHeight w:val="172"/>
        </w:trPr>
        <w:tc>
          <w:tcPr>
            <w:tcW w:w="1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5"/>
                <w:szCs w:val="15"/>
                <w:b w:val="1"/>
                <w:bCs w:val="1"/>
                <w:color w:val="auto"/>
                <w:w w:val="91"/>
              </w:rPr>
              <w:t>Delaware</w:t>
            </w:r>
          </w:p>
        </w:tc>
        <w:tc>
          <w:tcPr>
            <w:tcW w:w="4300" w:type="dxa"/>
            <w:vAlign w:val="bottom"/>
            <w:gridSpan w:val="4"/>
          </w:tcPr>
          <w:p>
            <w:pPr>
              <w:spacing w:after="0"/>
              <w:rPr>
                <w:sz w:val="14"/>
                <w:szCs w:val="14"/>
                <w:color w:val="auto"/>
              </w:rPr>
            </w:pPr>
          </w:p>
        </w:tc>
        <w:tc>
          <w:tcPr>
            <w:tcW w:w="1560" w:type="dxa"/>
            <w:vAlign w:val="bottom"/>
            <w:gridSpan w:val="7"/>
          </w:tcPr>
          <w:p>
            <w:pPr>
              <w:jc w:val="right"/>
              <w:ind w:right="100"/>
              <w:spacing w:after="0"/>
              <w:rPr>
                <w:sz w:val="20"/>
                <w:szCs w:val="20"/>
                <w:color w:val="auto"/>
              </w:rPr>
            </w:pPr>
            <w:r>
              <w:rPr>
                <w:rFonts w:ascii="Arial" w:cs="Arial" w:eastAsia="Arial" w:hAnsi="Arial"/>
                <w:sz w:val="15"/>
                <w:szCs w:val="15"/>
                <w:b w:val="1"/>
                <w:bCs w:val="1"/>
                <w:color w:val="auto"/>
              </w:rPr>
              <w:t>11-1986657</w:t>
            </w:r>
          </w:p>
        </w:tc>
        <w:tc>
          <w:tcPr>
            <w:tcW w:w="640" w:type="dxa"/>
            <w:vAlign w:val="bottom"/>
          </w:tcPr>
          <w:p>
            <w:pPr>
              <w:spacing w:after="0"/>
              <w:rPr>
                <w:sz w:val="14"/>
                <w:szCs w:val="14"/>
                <w:color w:val="auto"/>
              </w:rPr>
            </w:pP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85"/>
        </w:trPr>
        <w:tc>
          <w:tcPr>
            <w:tcW w:w="6740" w:type="dxa"/>
            <w:vAlign w:val="bottom"/>
            <w:gridSpan w:val="7"/>
          </w:tcPr>
          <w:p>
            <w:pPr>
              <w:jc w:val="center"/>
              <w:ind w:right="2540"/>
              <w:spacing w:after="0"/>
              <w:rPr>
                <w:sz w:val="20"/>
                <w:szCs w:val="20"/>
                <w:color w:val="auto"/>
              </w:rPr>
            </w:pPr>
            <w:r>
              <w:rPr>
                <w:rFonts w:ascii="Arial" w:cs="Arial" w:eastAsia="Arial" w:hAnsi="Arial"/>
                <w:sz w:val="15"/>
                <w:szCs w:val="15"/>
                <w:color w:val="auto"/>
                <w:w w:val="93"/>
              </w:rPr>
              <w:t>(State or other jurisdiction of</w:t>
            </w:r>
          </w:p>
        </w:tc>
        <w:tc>
          <w:tcPr>
            <w:tcW w:w="2200" w:type="dxa"/>
            <w:vAlign w:val="bottom"/>
            <w:gridSpan w:val="8"/>
          </w:tcPr>
          <w:p>
            <w:pPr>
              <w:jc w:val="center"/>
              <w:spacing w:after="0"/>
              <w:rPr>
                <w:sz w:val="20"/>
                <w:szCs w:val="20"/>
                <w:color w:val="auto"/>
              </w:rPr>
            </w:pPr>
            <w:r>
              <w:rPr>
                <w:rFonts w:ascii="Arial" w:cs="Arial" w:eastAsia="Arial" w:hAnsi="Arial"/>
                <w:sz w:val="15"/>
                <w:szCs w:val="15"/>
                <w:color w:val="auto"/>
                <w:w w:val="95"/>
              </w:rPr>
              <w:t>(I.R.S. Employer Identification No.)</w:t>
            </w:r>
          </w:p>
        </w:tc>
      </w:tr>
      <w:tr>
        <w:trPr>
          <w:trHeight w:val="191"/>
        </w:trPr>
        <w:tc>
          <w:tcPr>
            <w:tcW w:w="6740" w:type="dxa"/>
            <w:vAlign w:val="bottom"/>
            <w:gridSpan w:val="7"/>
          </w:tcPr>
          <w:p>
            <w:pPr>
              <w:jc w:val="center"/>
              <w:ind w:right="2520"/>
              <w:spacing w:after="0"/>
              <w:rPr>
                <w:sz w:val="20"/>
                <w:szCs w:val="20"/>
                <w:color w:val="auto"/>
              </w:rPr>
            </w:pPr>
            <w:r>
              <w:rPr>
                <w:rFonts w:ascii="Arial" w:cs="Arial" w:eastAsia="Arial" w:hAnsi="Arial"/>
                <w:sz w:val="15"/>
                <w:szCs w:val="15"/>
                <w:color w:val="auto"/>
                <w:w w:val="93"/>
              </w:rPr>
              <w:t>incorporation or organization)</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330"/>
        </w:trPr>
        <w:tc>
          <w:tcPr>
            <w:tcW w:w="4140" w:type="dxa"/>
            <w:vAlign w:val="bottom"/>
            <w:gridSpan w:val="5"/>
          </w:tcPr>
          <w:p>
            <w:pPr>
              <w:spacing w:after="0"/>
              <w:rPr>
                <w:sz w:val="20"/>
                <w:szCs w:val="20"/>
                <w:color w:val="auto"/>
              </w:rPr>
            </w:pPr>
            <w:r>
              <w:rPr>
                <w:rFonts w:ascii="Arial" w:cs="Arial" w:eastAsia="Arial" w:hAnsi="Arial"/>
                <w:sz w:val="15"/>
                <w:szCs w:val="15"/>
                <w:b w:val="1"/>
                <w:bCs w:val="1"/>
                <w:color w:val="auto"/>
              </w:rPr>
              <w:t>55 CHARLES LINDBERGH BLVD., MITCHEL FIELD, N.Y.</w:t>
            </w:r>
          </w:p>
        </w:tc>
        <w:tc>
          <w:tcPr>
            <w:tcW w:w="2600" w:type="dxa"/>
            <w:vAlign w:val="bottom"/>
            <w:gridSpan w:val="2"/>
          </w:tcPr>
          <w:p>
            <w:pPr>
              <w:spacing w:after="0"/>
              <w:rPr>
                <w:sz w:val="24"/>
                <w:szCs w:val="24"/>
                <w:color w:val="auto"/>
              </w:rPr>
            </w:pPr>
          </w:p>
        </w:tc>
        <w:tc>
          <w:tcPr>
            <w:tcW w:w="1460" w:type="dxa"/>
            <w:vAlign w:val="bottom"/>
            <w:gridSpan w:val="6"/>
          </w:tcPr>
          <w:p>
            <w:pPr>
              <w:jc w:val="right"/>
              <w:ind w:right="180"/>
              <w:spacing w:after="0"/>
              <w:rPr>
                <w:sz w:val="20"/>
                <w:szCs w:val="20"/>
                <w:color w:val="auto"/>
              </w:rPr>
            </w:pPr>
            <w:r>
              <w:rPr>
                <w:rFonts w:ascii="Arial" w:cs="Arial" w:eastAsia="Arial" w:hAnsi="Arial"/>
                <w:sz w:val="15"/>
                <w:szCs w:val="15"/>
                <w:b w:val="1"/>
                <w:bCs w:val="1"/>
                <w:color w:val="auto"/>
              </w:rPr>
              <w:t>11553</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4140" w:type="dxa"/>
            <w:vAlign w:val="bottom"/>
            <w:gridSpan w:val="5"/>
          </w:tcPr>
          <w:p>
            <w:pPr>
              <w:jc w:val="center"/>
              <w:spacing w:after="0"/>
              <w:rPr>
                <w:sz w:val="20"/>
                <w:szCs w:val="20"/>
                <w:color w:val="auto"/>
              </w:rPr>
            </w:pPr>
            <w:r>
              <w:rPr>
                <w:rFonts w:ascii="Arial" w:cs="Arial" w:eastAsia="Arial" w:hAnsi="Arial"/>
                <w:sz w:val="15"/>
                <w:szCs w:val="15"/>
                <w:color w:val="auto"/>
                <w:w w:val="93"/>
              </w:rPr>
              <w:t>(Address of principal executive offices)</w:t>
            </w:r>
          </w:p>
        </w:tc>
        <w:tc>
          <w:tcPr>
            <w:tcW w:w="2600" w:type="dxa"/>
            <w:vAlign w:val="bottom"/>
            <w:gridSpan w:val="2"/>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60" w:type="dxa"/>
            <w:vAlign w:val="bottom"/>
            <w:gridSpan w:val="5"/>
          </w:tcPr>
          <w:p>
            <w:pPr>
              <w:jc w:val="center"/>
              <w:ind w:right="740"/>
              <w:spacing w:after="0"/>
              <w:rPr>
                <w:sz w:val="20"/>
                <w:szCs w:val="20"/>
                <w:color w:val="auto"/>
              </w:rPr>
            </w:pPr>
            <w:r>
              <w:rPr>
                <w:rFonts w:ascii="Arial" w:cs="Arial" w:eastAsia="Arial" w:hAnsi="Arial"/>
                <w:sz w:val="15"/>
                <w:szCs w:val="15"/>
                <w:color w:val="auto"/>
                <w:w w:val="95"/>
              </w:rPr>
              <w:t>(Zip Code)</w:t>
            </w:r>
          </w:p>
        </w:tc>
      </w:tr>
      <w:tr>
        <w:trPr>
          <w:trHeight w:val="330"/>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80" w:type="dxa"/>
            <w:vAlign w:val="bottom"/>
            <w:gridSpan w:val="11"/>
          </w:tcPr>
          <w:p>
            <w:pPr>
              <w:jc w:val="center"/>
              <w:ind w:right="1660"/>
              <w:spacing w:after="0"/>
              <w:rPr>
                <w:sz w:val="20"/>
                <w:szCs w:val="20"/>
                <w:color w:val="auto"/>
              </w:rPr>
            </w:pPr>
            <w:r>
              <w:rPr>
                <w:rFonts w:ascii="Arial" w:cs="Arial" w:eastAsia="Arial" w:hAnsi="Arial"/>
                <w:sz w:val="15"/>
                <w:szCs w:val="15"/>
                <w:color w:val="auto"/>
                <w:w w:val="90"/>
              </w:rPr>
              <w:t xml:space="preserve">Registrant's telephone number, including area code: </w:t>
            </w:r>
            <w:r>
              <w:rPr>
                <w:rFonts w:ascii="Arial" w:cs="Arial" w:eastAsia="Arial" w:hAnsi="Arial"/>
                <w:sz w:val="15"/>
                <w:szCs w:val="15"/>
                <w:b w:val="1"/>
                <w:bCs w:val="1"/>
                <w:color w:val="auto"/>
                <w:w w:val="90"/>
              </w:rPr>
              <w:t>516-794-4500</w:t>
            </w: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398"/>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3"/>
          </w:tcPr>
          <w:p>
            <w:pPr>
              <w:jc w:val="center"/>
              <w:ind w:left="484"/>
              <w:spacing w:after="0"/>
              <w:rPr>
                <w:sz w:val="20"/>
                <w:szCs w:val="20"/>
                <w:color w:val="auto"/>
              </w:rPr>
            </w:pPr>
            <w:r>
              <w:rPr>
                <w:rFonts w:ascii="Arial" w:cs="Arial" w:eastAsia="Arial" w:hAnsi="Arial"/>
                <w:sz w:val="15"/>
                <w:szCs w:val="15"/>
                <w:color w:val="auto"/>
                <w:w w:val="91"/>
              </w:rPr>
              <w:t>Securities registered pursuant to Section 12 (b) of the Act: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76"/>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960" w:type="dxa"/>
            <w:vAlign w:val="bottom"/>
            <w:gridSpan w:val="7"/>
          </w:tcPr>
          <w:p>
            <w:pPr>
              <w:jc w:val="center"/>
              <w:ind w:right="240"/>
              <w:spacing w:after="0"/>
              <w:rPr>
                <w:sz w:val="20"/>
                <w:szCs w:val="20"/>
                <w:color w:val="auto"/>
              </w:rPr>
            </w:pPr>
            <w:r>
              <w:rPr>
                <w:rFonts w:ascii="Arial" w:cs="Arial" w:eastAsia="Arial" w:hAnsi="Arial"/>
                <w:sz w:val="15"/>
                <w:szCs w:val="15"/>
                <w:color w:val="auto"/>
                <w:w w:val="89"/>
              </w:rPr>
              <w:t>Name of each exchange on</w:t>
            </w:r>
          </w:p>
        </w:tc>
      </w:tr>
      <w:tr>
        <w:trPr>
          <w:trHeight w:val="158"/>
        </w:trPr>
        <w:tc>
          <w:tcPr>
            <w:tcW w:w="1560" w:type="dxa"/>
            <w:vAlign w:val="bottom"/>
          </w:tcPr>
          <w:p>
            <w:pPr>
              <w:spacing w:after="0"/>
              <w:rPr>
                <w:sz w:val="13"/>
                <w:szCs w:val="13"/>
                <w:color w:val="auto"/>
              </w:rPr>
            </w:pPr>
          </w:p>
        </w:tc>
        <w:tc>
          <w:tcPr>
            <w:tcW w:w="5180" w:type="dxa"/>
            <w:vAlign w:val="bottom"/>
            <w:gridSpan w:val="6"/>
          </w:tcPr>
          <w:p>
            <w:pPr>
              <w:jc w:val="center"/>
              <w:ind w:right="4060"/>
              <w:spacing w:after="0" w:line="158" w:lineRule="exact"/>
              <w:rPr>
                <w:sz w:val="20"/>
                <w:szCs w:val="20"/>
                <w:color w:val="auto"/>
              </w:rPr>
            </w:pPr>
            <w:r>
              <w:rPr>
                <w:rFonts w:ascii="Arial" w:cs="Arial" w:eastAsia="Arial" w:hAnsi="Arial"/>
                <w:sz w:val="15"/>
                <w:szCs w:val="15"/>
                <w:color w:val="auto"/>
                <w:w w:val="89"/>
              </w:rPr>
              <w:t>Title of each class</w:t>
            </w:r>
          </w:p>
        </w:tc>
        <w:tc>
          <w:tcPr>
            <w:tcW w:w="2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40" w:type="dxa"/>
            <w:vAlign w:val="bottom"/>
            <w:gridSpan w:val="6"/>
          </w:tcPr>
          <w:p>
            <w:pPr>
              <w:spacing w:after="0" w:line="158" w:lineRule="exact"/>
              <w:rPr>
                <w:sz w:val="20"/>
                <w:szCs w:val="20"/>
                <w:color w:val="auto"/>
              </w:rPr>
            </w:pPr>
            <w:r>
              <w:rPr>
                <w:rFonts w:ascii="Arial" w:cs="Arial" w:eastAsia="Arial" w:hAnsi="Arial"/>
                <w:sz w:val="15"/>
                <w:szCs w:val="15"/>
                <w:color w:val="auto"/>
              </w:rPr>
              <w:t>which registered</w:t>
            </w:r>
          </w:p>
        </w:tc>
      </w:tr>
      <w:tr>
        <w:trPr>
          <w:trHeight w:val="20"/>
        </w:trPr>
        <w:tc>
          <w:tcPr>
            <w:tcW w:w="1560" w:type="dxa"/>
            <w:vAlign w:val="bottom"/>
          </w:tcPr>
          <w:p>
            <w:pPr>
              <w:spacing w:after="0" w:line="20" w:lineRule="exact"/>
              <w:rPr>
                <w:sz w:val="1"/>
                <w:szCs w:val="1"/>
                <w:color w:val="auto"/>
              </w:rPr>
            </w:pPr>
          </w:p>
        </w:tc>
        <w:tc>
          <w:tcPr>
            <w:tcW w:w="1100" w:type="dxa"/>
            <w:vAlign w:val="bottom"/>
            <w:gridSpan w:val="3"/>
            <w:shd w:val="clear" w:color="auto" w:fill="000000"/>
          </w:tcPr>
          <w:p>
            <w:pPr>
              <w:spacing w:after="0" w:line="20" w:lineRule="exact"/>
              <w:rPr>
                <w:sz w:val="1"/>
                <w:szCs w:val="1"/>
                <w:color w:val="auto"/>
              </w:rPr>
            </w:pPr>
          </w:p>
        </w:tc>
        <w:tc>
          <w:tcPr>
            <w:tcW w:w="408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gridSpan w:val="5"/>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4"/>
        </w:trPr>
        <w:tc>
          <w:tcPr>
            <w:tcW w:w="6740" w:type="dxa"/>
            <w:vAlign w:val="bottom"/>
            <w:gridSpan w:val="7"/>
          </w:tcPr>
          <w:p>
            <w:pPr>
              <w:jc w:val="center"/>
              <w:ind w:right="2500"/>
              <w:spacing w:after="0"/>
              <w:rPr>
                <w:sz w:val="20"/>
                <w:szCs w:val="20"/>
                <w:color w:val="auto"/>
              </w:rPr>
            </w:pPr>
            <w:r>
              <w:rPr>
                <w:rFonts w:ascii="Arial" w:cs="Arial" w:eastAsia="Arial" w:hAnsi="Arial"/>
                <w:sz w:val="15"/>
                <w:szCs w:val="15"/>
                <w:b w:val="1"/>
                <w:bCs w:val="1"/>
                <w:color w:val="auto"/>
                <w:w w:val="90"/>
              </w:rPr>
              <w:t>Common Stock (par value $1.00 per share)</w:t>
            </w:r>
          </w:p>
        </w:tc>
        <w:tc>
          <w:tcPr>
            <w:tcW w:w="240" w:type="dxa"/>
            <w:vAlign w:val="bottom"/>
          </w:tcPr>
          <w:p>
            <w:pPr>
              <w:spacing w:after="0"/>
              <w:rPr>
                <w:sz w:val="16"/>
                <w:szCs w:val="16"/>
                <w:color w:val="auto"/>
              </w:rPr>
            </w:pPr>
          </w:p>
        </w:tc>
        <w:tc>
          <w:tcPr>
            <w:tcW w:w="1960" w:type="dxa"/>
            <w:vAlign w:val="bottom"/>
            <w:gridSpan w:val="7"/>
          </w:tcPr>
          <w:p>
            <w:pPr>
              <w:jc w:val="center"/>
              <w:ind w:right="240"/>
              <w:spacing w:after="0"/>
              <w:rPr>
                <w:sz w:val="20"/>
                <w:szCs w:val="20"/>
                <w:color w:val="auto"/>
              </w:rPr>
            </w:pPr>
            <w:r>
              <w:rPr>
                <w:rFonts w:ascii="Arial" w:cs="Arial" w:eastAsia="Arial" w:hAnsi="Arial"/>
                <w:sz w:val="15"/>
                <w:szCs w:val="15"/>
                <w:b w:val="1"/>
                <w:bCs w:val="1"/>
                <w:color w:val="auto"/>
                <w:w w:val="97"/>
              </w:rPr>
              <w:t>NASDAQ Global Market</w:t>
            </w:r>
          </w:p>
        </w:tc>
      </w:tr>
      <w:tr>
        <w:trPr>
          <w:trHeight w:val="386"/>
        </w:trPr>
        <w:tc>
          <w:tcPr>
            <w:tcW w:w="1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80" w:type="dxa"/>
            <w:vAlign w:val="bottom"/>
            <w:gridSpan w:val="3"/>
          </w:tcPr>
          <w:p>
            <w:pPr>
              <w:jc w:val="center"/>
              <w:ind w:left="484"/>
              <w:spacing w:after="0"/>
              <w:rPr>
                <w:sz w:val="20"/>
                <w:szCs w:val="20"/>
                <w:color w:val="auto"/>
              </w:rPr>
            </w:pPr>
            <w:r>
              <w:rPr>
                <w:rFonts w:ascii="Arial" w:cs="Arial" w:eastAsia="Arial" w:hAnsi="Arial"/>
                <w:sz w:val="15"/>
                <w:szCs w:val="15"/>
                <w:color w:val="auto"/>
                <w:w w:val="91"/>
              </w:rPr>
              <w:t>Securities registered pursuant to Section 12 (g) of the Act:</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19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None</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  Yes o No x</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not required to file reports pursuant to Section 13 or Section 15(d) of the Exchange Act.  Yes o No x</w:t>
      </w:r>
    </w:p>
    <w:p>
      <w:pPr>
        <w:spacing w:after="0" w:line="191" w:lineRule="exact"/>
        <w:rPr>
          <w:sz w:val="24"/>
          <w:szCs w:val="24"/>
          <w:color w:val="auto"/>
        </w:rPr>
      </w:pPr>
    </w:p>
    <w:p>
      <w:pPr>
        <w:jc w:val="both"/>
        <w:spacing w:after="0" w:line="31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o</w:t>
      </w:r>
    </w:p>
    <w:p>
      <w:pPr>
        <w:spacing w:after="0" w:line="123" w:lineRule="exact"/>
        <w:rPr>
          <w:sz w:val="24"/>
          <w:szCs w:val="24"/>
          <w:color w:val="auto"/>
        </w:rPr>
      </w:pPr>
    </w:p>
    <w:p>
      <w:pPr>
        <w:jc w:val="both"/>
        <w:spacing w:after="0" w:line="265"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(para 232.405 of this chapter) during the preceding 12 months (or for such shorter period that the registrant was required to submit and post such files). Yes x Noo</w:t>
      </w:r>
    </w:p>
    <w:p>
      <w:pPr>
        <w:spacing w:after="0" w:line="155" w:lineRule="exact"/>
        <w:rPr>
          <w:sz w:val="24"/>
          <w:szCs w:val="24"/>
          <w:color w:val="auto"/>
        </w:rPr>
      </w:pPr>
    </w:p>
    <w:p>
      <w:pPr>
        <w:jc w:val="both"/>
        <w:spacing w:after="0" w:line="277" w:lineRule="auto"/>
        <w:rPr>
          <w:sz w:val="20"/>
          <w:szCs w:val="20"/>
          <w:color w:val="auto"/>
        </w:rPr>
      </w:pPr>
      <w:r>
        <w:rPr>
          <w:rFonts w:ascii="Arial" w:cs="Arial" w:eastAsia="Arial" w:hAnsi="Arial"/>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46" w:lineRule="exact"/>
        <w:rPr>
          <w:sz w:val="24"/>
          <w:szCs w:val="24"/>
          <w:color w:val="auto"/>
        </w:rPr>
      </w:pPr>
    </w:p>
    <w:p>
      <w:pPr>
        <w:jc w:val="both"/>
        <w:spacing w:after="0" w:line="27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9" w:lineRule="exact"/>
        <w:rPr>
          <w:sz w:val="24"/>
          <w:szCs w:val="24"/>
          <w:color w:val="auto"/>
        </w:rPr>
      </w:pPr>
    </w:p>
    <w:p>
      <w:pPr>
        <w:spacing w:after="0"/>
        <w:tabs>
          <w:tab w:leader="none" w:pos="2840" w:val="left"/>
          <w:tab w:leader="none" w:pos="5700" w:val="left"/>
          <w:tab w:leader="none" w:pos="8560" w:val="left"/>
        </w:tabs>
        <w:rPr>
          <w:sz w:val="20"/>
          <w:szCs w:val="20"/>
          <w:color w:val="auto"/>
        </w:rPr>
      </w:pPr>
      <w:r>
        <w:rPr>
          <w:rFonts w:ascii="Arial" w:cs="Arial" w:eastAsia="Arial" w:hAnsi="Arial"/>
          <w:sz w:val="15"/>
          <w:szCs w:val="15"/>
          <w:color w:val="auto"/>
        </w:rPr>
        <w:t>Large accelerated filer o</w:t>
      </w:r>
      <w:r>
        <w:rPr>
          <w:sz w:val="20"/>
          <w:szCs w:val="20"/>
          <w:color w:val="auto"/>
        </w:rPr>
        <w:tab/>
      </w:r>
      <w:r>
        <w:rPr>
          <w:rFonts w:ascii="Arial" w:cs="Arial" w:eastAsia="Arial" w:hAnsi="Arial"/>
          <w:sz w:val="15"/>
          <w:szCs w:val="15"/>
          <w:color w:val="auto"/>
        </w:rPr>
        <w:t>Accelerated filer o</w:t>
      </w:r>
      <w:r>
        <w:rPr>
          <w:sz w:val="20"/>
          <w:szCs w:val="20"/>
          <w:color w:val="auto"/>
        </w:rPr>
        <w:tab/>
      </w:r>
      <w:r>
        <w:rPr>
          <w:rFonts w:ascii="Arial" w:cs="Arial" w:eastAsia="Arial" w:hAnsi="Arial"/>
          <w:sz w:val="15"/>
          <w:szCs w:val="15"/>
          <w:color w:val="auto"/>
        </w:rPr>
        <w:t>Non-accelerated filer o</w:t>
      </w:r>
      <w:r>
        <w:rPr>
          <w:sz w:val="20"/>
          <w:szCs w:val="20"/>
          <w:color w:val="auto"/>
        </w:rPr>
        <w:tab/>
      </w:r>
      <w:r>
        <w:rPr>
          <w:rFonts w:ascii="Arial" w:cs="Arial" w:eastAsia="Arial" w:hAnsi="Arial"/>
          <w:sz w:val="14"/>
          <w:szCs w:val="14"/>
          <w:color w:val="auto"/>
        </w:rPr>
        <w:t>Smaller Reporting Company x</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is a shell company (as defined in Rule 12b-2 of the Exchange Act).  Yes o No x</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The aggregate market value of voting stock held by non-affiliates of the Registrant as of October 31, 2013 - $60,700,000</w:t>
      </w:r>
    </w:p>
    <w:p>
      <w:pPr>
        <w:spacing w:after="0" w:line="213" w:lineRule="exact"/>
        <w:rPr>
          <w:sz w:val="24"/>
          <w:szCs w:val="24"/>
          <w:color w:val="auto"/>
        </w:rPr>
      </w:pPr>
    </w:p>
    <w:p>
      <w:pPr>
        <w:spacing w:after="0"/>
        <w:rPr>
          <w:sz w:val="20"/>
          <w:szCs w:val="20"/>
          <w:color w:val="auto"/>
        </w:rPr>
      </w:pPr>
      <w:r>
        <w:rPr>
          <w:rFonts w:ascii="Arial" w:cs="Arial" w:eastAsia="Arial" w:hAnsi="Arial"/>
          <w:sz w:val="15"/>
          <w:szCs w:val="15"/>
          <w:color w:val="auto"/>
        </w:rPr>
        <w:t>The number of shares outstanding of Registrant's Common Stock, par value $1.00 as of July 21, 2014 – 8,585,503</w:t>
      </w:r>
    </w:p>
    <w:p>
      <w:pPr>
        <w:spacing w:after="0" w:line="213" w:lineRule="exact"/>
        <w:rPr>
          <w:sz w:val="24"/>
          <w:szCs w:val="24"/>
          <w:color w:val="auto"/>
        </w:rPr>
      </w:pPr>
    </w:p>
    <w:p>
      <w:pPr>
        <w:jc w:val="both"/>
        <w:spacing w:after="0" w:line="277" w:lineRule="auto"/>
        <w:rPr>
          <w:sz w:val="20"/>
          <w:szCs w:val="20"/>
          <w:color w:val="auto"/>
        </w:rPr>
      </w:pPr>
      <w:r>
        <w:rPr>
          <w:rFonts w:ascii="Arial" w:cs="Arial" w:eastAsia="Arial" w:hAnsi="Arial"/>
          <w:sz w:val="15"/>
          <w:szCs w:val="15"/>
          <w:color w:val="auto"/>
        </w:rPr>
        <w:t>DOCUMENTS INCORPORATED BY REFERENCE: PART III incorporates information by reference from the definitive proxy statement to be filed for the Annual Meeting of Stockholders to be held on or about October 8,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233680</wp:posOffset>
            </wp:positionV>
            <wp:extent cx="7273925" cy="196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270" w:right="219" w:bottom="1440" w:gutter="0" w:footer="0" w:header="0"/>
        </w:sectPr>
      </w:pPr>
    </w:p>
    <w:bookmarkStart w:id="1" w:name="page2"/>
    <w:bookmarkEnd w:id="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FREQUENCY ELECTRONICS, INC. and SUBSIDIARIES</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80" w:type="dxa"/>
            <w:vAlign w:val="bottom"/>
            <w:gridSpan w:val="7"/>
          </w:tcPr>
          <w:p>
            <w:pPr>
              <w:jc w:val="center"/>
              <w:ind w:right="3520"/>
              <w:spacing w:after="0"/>
              <w:rPr>
                <w:sz w:val="20"/>
                <w:szCs w:val="20"/>
                <w:color w:val="auto"/>
              </w:rPr>
            </w:pPr>
            <w:r>
              <w:rPr>
                <w:rFonts w:ascii="Arial" w:cs="Arial" w:eastAsia="Arial" w:hAnsi="Arial"/>
                <w:sz w:val="15"/>
                <w:szCs w:val="15"/>
                <w:b w:val="1"/>
                <w:bCs w:val="1"/>
                <w:color w:val="auto"/>
                <w:w w:val="97"/>
              </w:rPr>
              <w:t>PART I</w:t>
            </w:r>
          </w:p>
        </w:tc>
        <w:tc>
          <w:tcPr>
            <w:tcW w:w="1420" w:type="dxa"/>
            <w:vAlign w:val="bottom"/>
          </w:tcPr>
          <w:p>
            <w:pPr>
              <w:spacing w:after="0"/>
              <w:rPr>
                <w:sz w:val="16"/>
                <w:szCs w:val="16"/>
                <w:color w:val="auto"/>
              </w:rPr>
            </w:pPr>
          </w:p>
        </w:tc>
      </w:tr>
      <w:tr>
        <w:trPr>
          <w:trHeight w:val="353"/>
        </w:trPr>
        <w:tc>
          <w:tcPr>
            <w:tcW w:w="1940" w:type="dxa"/>
            <w:vAlign w:val="bottom"/>
            <w:gridSpan w:val="3"/>
          </w:tcPr>
          <w:p>
            <w:pPr>
              <w:spacing w:after="0"/>
              <w:rPr>
                <w:sz w:val="20"/>
                <w:szCs w:val="20"/>
                <w:color w:val="auto"/>
              </w:rPr>
            </w:pPr>
            <w:r>
              <w:rPr>
                <w:rFonts w:ascii="Arial" w:cs="Arial" w:eastAsia="Arial" w:hAnsi="Arial"/>
                <w:sz w:val="15"/>
                <w:szCs w:val="15"/>
                <w:color w:val="auto"/>
              </w:rPr>
              <w:t>Item 1.</w:t>
            </w:r>
          </w:p>
        </w:tc>
        <w:tc>
          <w:tcPr>
            <w:tcW w:w="540" w:type="dxa"/>
            <w:vAlign w:val="bottom"/>
            <w:tcBorders>
              <w:bottom w:val="single" w:sz="8" w:color="0000EE"/>
            </w:tcBorders>
          </w:tcPr>
          <w:p>
            <w:pPr>
              <w:spacing w:after="0"/>
              <w:rPr>
                <w:rFonts w:ascii="Arial" w:cs="Arial" w:eastAsia="Arial" w:hAnsi="Arial"/>
                <w:sz w:val="15"/>
                <w:szCs w:val="15"/>
                <w:color w:val="0000EE"/>
                <w:w w:val="85"/>
              </w:rPr>
            </w:pPr>
            <w:hyperlink w:anchor="page3">
              <w:r>
                <w:rPr>
                  <w:rFonts w:ascii="Arial" w:cs="Arial" w:eastAsia="Arial" w:hAnsi="Arial"/>
                  <w:sz w:val="15"/>
                  <w:szCs w:val="15"/>
                  <w:color w:val="0000EE"/>
                  <w:w w:val="85"/>
                </w:rPr>
                <w:t>Business</w:t>
              </w:r>
            </w:hyperlink>
          </w:p>
        </w:tc>
        <w:tc>
          <w:tcPr>
            <w:tcW w:w="7540" w:type="dxa"/>
            <w:vAlign w:val="bottom"/>
            <w:gridSpan w:val="18"/>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1A.</w:t>
            </w:r>
          </w:p>
        </w:tc>
        <w:tc>
          <w:tcPr>
            <w:tcW w:w="8080" w:type="dxa"/>
            <w:vAlign w:val="bottom"/>
            <w:gridSpan w:val="19"/>
          </w:tcPr>
          <w:p>
            <w:pPr>
              <w:spacing w:after="0" w:line="161" w:lineRule="exact"/>
              <w:rPr>
                <w:rFonts w:ascii="Arial" w:cs="Arial" w:eastAsia="Arial" w:hAnsi="Arial"/>
                <w:sz w:val="15"/>
                <w:szCs w:val="15"/>
                <w:color w:val="0000EE"/>
              </w:rPr>
            </w:pPr>
            <w:hyperlink w:anchor="page10">
              <w:r>
                <w:rPr>
                  <w:rFonts w:ascii="Arial" w:cs="Arial" w:eastAsia="Arial" w:hAnsi="Arial"/>
                  <w:sz w:val="15"/>
                  <w:szCs w:val="15"/>
                  <w:color w:val="0000EE"/>
                </w:rPr>
                <w:t>Risk Factors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10</w:t>
            </w:r>
          </w:p>
        </w:tc>
      </w:tr>
      <w:tr>
        <w:trPr>
          <w:trHeight w:val="20"/>
        </w:trPr>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1B.</w:t>
            </w:r>
          </w:p>
        </w:tc>
        <w:tc>
          <w:tcPr>
            <w:tcW w:w="8080" w:type="dxa"/>
            <w:vAlign w:val="bottom"/>
            <w:gridSpan w:val="19"/>
          </w:tcPr>
          <w:p>
            <w:pPr>
              <w:spacing w:after="0" w:line="161" w:lineRule="exact"/>
              <w:rPr>
                <w:rFonts w:ascii="Arial" w:cs="Arial" w:eastAsia="Arial" w:hAnsi="Arial"/>
                <w:sz w:val="15"/>
                <w:szCs w:val="15"/>
                <w:color w:val="0000EE"/>
              </w:rPr>
            </w:pPr>
            <w:hyperlink w:anchor="page10">
              <w:r>
                <w:rPr>
                  <w:rFonts w:ascii="Arial" w:cs="Arial" w:eastAsia="Arial" w:hAnsi="Arial"/>
                  <w:sz w:val="15"/>
                  <w:szCs w:val="15"/>
                  <w:color w:val="0000EE"/>
                </w:rPr>
                <w:t>Unresolved Staff Comments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10</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2.</w:t>
            </w:r>
          </w:p>
        </w:tc>
        <w:tc>
          <w:tcPr>
            <w:tcW w:w="620" w:type="dxa"/>
            <w:vAlign w:val="bottom"/>
            <w:tcBorders>
              <w:top w:val="single" w:sz="8" w:color="0000EE"/>
              <w:bottom w:val="single" w:sz="8" w:color="0000EE"/>
            </w:tcBorders>
            <w:gridSpan w:val="2"/>
          </w:tcPr>
          <w:p>
            <w:pPr>
              <w:spacing w:after="0" w:line="161" w:lineRule="exact"/>
              <w:rPr>
                <w:rFonts w:ascii="Arial" w:cs="Arial" w:eastAsia="Arial" w:hAnsi="Arial"/>
                <w:sz w:val="15"/>
                <w:szCs w:val="15"/>
                <w:color w:val="0000EE"/>
                <w:w w:val="87"/>
              </w:rPr>
            </w:pPr>
            <w:hyperlink w:anchor="page10">
              <w:r>
                <w:rPr>
                  <w:rFonts w:ascii="Arial" w:cs="Arial" w:eastAsia="Arial" w:hAnsi="Arial"/>
                  <w:sz w:val="15"/>
                  <w:szCs w:val="15"/>
                  <w:color w:val="0000EE"/>
                  <w:w w:val="87"/>
                </w:rPr>
                <w:t>Properties</w:t>
              </w:r>
            </w:hyperlink>
          </w:p>
        </w:tc>
        <w:tc>
          <w:tcPr>
            <w:tcW w:w="1100" w:type="dxa"/>
            <w:vAlign w:val="bottom"/>
            <w:tcBorders>
              <w:top w:val="single" w:sz="8" w:color="0000EE"/>
            </w:tcBorders>
            <w:gridSpan w:val="6"/>
          </w:tcPr>
          <w:p>
            <w:pPr>
              <w:spacing w:after="0"/>
              <w:rPr>
                <w:sz w:val="14"/>
                <w:szCs w:val="14"/>
                <w:color w:val="auto"/>
              </w:rPr>
            </w:pPr>
          </w:p>
        </w:tc>
        <w:tc>
          <w:tcPr>
            <w:tcW w:w="6360" w:type="dxa"/>
            <w:vAlign w:val="bottom"/>
            <w:gridSpan w:val="11"/>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10</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3.</w:t>
            </w:r>
          </w:p>
        </w:tc>
        <w:tc>
          <w:tcPr>
            <w:tcW w:w="8080" w:type="dxa"/>
            <w:vAlign w:val="bottom"/>
            <w:gridSpan w:val="19"/>
          </w:tcPr>
          <w:p>
            <w:pPr>
              <w:spacing w:after="0" w:line="161" w:lineRule="exact"/>
              <w:rPr>
                <w:rFonts w:ascii="Arial" w:cs="Arial" w:eastAsia="Arial" w:hAnsi="Arial"/>
                <w:sz w:val="15"/>
                <w:szCs w:val="15"/>
                <w:color w:val="0000EE"/>
              </w:rPr>
            </w:pPr>
            <w:hyperlink w:anchor="page11">
              <w:r>
                <w:rPr>
                  <w:rFonts w:ascii="Arial" w:cs="Arial" w:eastAsia="Arial" w:hAnsi="Arial"/>
                  <w:sz w:val="15"/>
                  <w:szCs w:val="15"/>
                  <w:color w:val="0000EE"/>
                </w:rPr>
                <w:t>Legal Proceedings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r>
      <w:tr>
        <w:trPr>
          <w:trHeight w:val="20"/>
        </w:trPr>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tcBorders>
              <w:right w:val="single" w:sz="8" w:color="0000EE"/>
            </w:tcBorders>
            <w:gridSpan w:val="4"/>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4.</w:t>
            </w:r>
          </w:p>
        </w:tc>
        <w:tc>
          <w:tcPr>
            <w:tcW w:w="8080" w:type="dxa"/>
            <w:vAlign w:val="bottom"/>
            <w:gridSpan w:val="19"/>
          </w:tcPr>
          <w:p>
            <w:pPr>
              <w:spacing w:after="0" w:line="161" w:lineRule="exact"/>
              <w:rPr>
                <w:rFonts w:ascii="Arial" w:cs="Arial" w:eastAsia="Arial" w:hAnsi="Arial"/>
                <w:sz w:val="15"/>
                <w:szCs w:val="15"/>
                <w:color w:val="0000EE"/>
              </w:rPr>
            </w:pPr>
            <w:hyperlink w:anchor="page11">
              <w:r>
                <w:rPr>
                  <w:rFonts w:ascii="Arial" w:cs="Arial" w:eastAsia="Arial" w:hAnsi="Arial"/>
                  <w:sz w:val="15"/>
                  <w:szCs w:val="15"/>
                  <w:color w:val="0000EE"/>
                </w:rPr>
                <w:t>Mine Safety Disclosures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11</w:t>
            </w:r>
          </w:p>
        </w:tc>
      </w:tr>
      <w:tr>
        <w:trPr>
          <w:trHeight w:val="398"/>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7"/>
          </w:tcPr>
          <w:p>
            <w:pPr>
              <w:jc w:val="center"/>
              <w:ind w:right="3520"/>
              <w:spacing w:after="0"/>
              <w:rPr>
                <w:sz w:val="20"/>
                <w:szCs w:val="20"/>
                <w:color w:val="auto"/>
              </w:rPr>
            </w:pPr>
            <w:r>
              <w:rPr>
                <w:rFonts w:ascii="Arial" w:cs="Arial" w:eastAsia="Arial" w:hAnsi="Arial"/>
                <w:sz w:val="15"/>
                <w:szCs w:val="15"/>
                <w:b w:val="1"/>
                <w:bCs w:val="1"/>
                <w:color w:val="auto"/>
              </w:rPr>
              <w:t>PART II</w:t>
            </w:r>
          </w:p>
        </w:tc>
        <w:tc>
          <w:tcPr>
            <w:tcW w:w="1420" w:type="dxa"/>
            <w:vAlign w:val="bottom"/>
          </w:tcPr>
          <w:p>
            <w:pPr>
              <w:spacing w:after="0"/>
              <w:rPr>
                <w:sz w:val="24"/>
                <w:szCs w:val="24"/>
                <w:color w:val="auto"/>
              </w:rPr>
            </w:pPr>
          </w:p>
        </w:tc>
      </w:tr>
      <w:tr>
        <w:trPr>
          <w:trHeight w:val="353"/>
        </w:trPr>
        <w:tc>
          <w:tcPr>
            <w:tcW w:w="1940" w:type="dxa"/>
            <w:vAlign w:val="bottom"/>
            <w:gridSpan w:val="3"/>
          </w:tcPr>
          <w:p>
            <w:pPr>
              <w:spacing w:after="0"/>
              <w:rPr>
                <w:sz w:val="20"/>
                <w:szCs w:val="20"/>
                <w:color w:val="auto"/>
              </w:rPr>
            </w:pPr>
            <w:r>
              <w:rPr>
                <w:rFonts w:ascii="Arial" w:cs="Arial" w:eastAsia="Arial" w:hAnsi="Arial"/>
                <w:sz w:val="15"/>
                <w:szCs w:val="15"/>
                <w:color w:val="auto"/>
              </w:rPr>
              <w:t>Item 5.</w:t>
            </w:r>
          </w:p>
        </w:tc>
        <w:tc>
          <w:tcPr>
            <w:tcW w:w="8080" w:type="dxa"/>
            <w:vAlign w:val="bottom"/>
            <w:gridSpan w:val="19"/>
          </w:tcPr>
          <w:p>
            <w:pPr>
              <w:spacing w:after="0"/>
              <w:rPr>
                <w:rFonts w:ascii="Arial" w:cs="Arial" w:eastAsia="Arial" w:hAnsi="Arial"/>
                <w:sz w:val="15"/>
                <w:szCs w:val="15"/>
                <w:color w:val="0000EE"/>
              </w:rPr>
            </w:pPr>
            <w:hyperlink w:anchor="page12">
              <w:r>
                <w:rPr>
                  <w:rFonts w:ascii="Arial" w:cs="Arial" w:eastAsia="Arial" w:hAnsi="Arial"/>
                  <w:sz w:val="15"/>
                  <w:szCs w:val="15"/>
                  <w:color w:val="0000EE"/>
                </w:rPr>
                <w:t>Market For Registrant’s Common Equity, Related Stockholder Matters and Issuer Purchases of Equity Securities</w:t>
              </w:r>
            </w:hyperlink>
          </w:p>
        </w:tc>
        <w:tc>
          <w:tcPr>
            <w:tcW w:w="1420" w:type="dxa"/>
            <w:vAlign w:val="bottom"/>
          </w:tcPr>
          <w:p>
            <w:pPr>
              <w:jc w:val="right"/>
              <w:spacing w:after="0"/>
              <w:rPr>
                <w:sz w:val="20"/>
                <w:szCs w:val="20"/>
                <w:color w:val="auto"/>
              </w:rPr>
            </w:pPr>
            <w:r>
              <w:rPr>
                <w:rFonts w:ascii="Arial" w:cs="Arial" w:eastAsia="Arial" w:hAnsi="Arial"/>
                <w:sz w:val="15"/>
                <w:szCs w:val="15"/>
                <w:color w:val="auto"/>
              </w:rPr>
              <w:t>12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6.</w:t>
            </w:r>
          </w:p>
        </w:tc>
        <w:tc>
          <w:tcPr>
            <w:tcW w:w="1440" w:type="dxa"/>
            <w:vAlign w:val="bottom"/>
            <w:tcBorders>
              <w:top w:val="single" w:sz="8" w:color="0000EE"/>
              <w:bottom w:val="single" w:sz="8" w:color="0000EE"/>
            </w:tcBorders>
            <w:gridSpan w:val="5"/>
          </w:tcPr>
          <w:p>
            <w:pPr>
              <w:spacing w:after="0" w:line="161" w:lineRule="exact"/>
              <w:rPr>
                <w:rFonts w:ascii="Arial" w:cs="Arial" w:eastAsia="Arial" w:hAnsi="Arial"/>
                <w:sz w:val="15"/>
                <w:szCs w:val="15"/>
                <w:color w:val="0000EE"/>
                <w:w w:val="89"/>
              </w:rPr>
            </w:pPr>
            <w:hyperlink w:anchor="page13">
              <w:r>
                <w:rPr>
                  <w:rFonts w:ascii="Arial" w:cs="Arial" w:eastAsia="Arial" w:hAnsi="Arial"/>
                  <w:sz w:val="15"/>
                  <w:szCs w:val="15"/>
                  <w:color w:val="0000EE"/>
                  <w:w w:val="89"/>
                </w:rPr>
                <w:t>Selected Financial Data</w:t>
              </w:r>
            </w:hyperlink>
          </w:p>
        </w:tc>
        <w:tc>
          <w:tcPr>
            <w:tcW w:w="5380" w:type="dxa"/>
            <w:vAlign w:val="bottom"/>
            <w:tcBorders>
              <w:top w:val="single" w:sz="8" w:color="0000EE"/>
            </w:tcBorders>
            <w:gridSpan w:val="13"/>
          </w:tcPr>
          <w:p>
            <w:pPr>
              <w:spacing w:after="0"/>
              <w:rPr>
                <w:sz w:val="14"/>
                <w:szCs w:val="14"/>
                <w:color w:val="auto"/>
              </w:rPr>
            </w:pPr>
          </w:p>
        </w:tc>
        <w:tc>
          <w:tcPr>
            <w:tcW w:w="1260" w:type="dxa"/>
            <w:vAlign w:val="bottom"/>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13</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7.</w:t>
            </w:r>
          </w:p>
        </w:tc>
        <w:tc>
          <w:tcPr>
            <w:tcW w:w="8080" w:type="dxa"/>
            <w:vAlign w:val="bottom"/>
            <w:gridSpan w:val="19"/>
          </w:tcPr>
          <w:p>
            <w:pPr>
              <w:spacing w:after="0" w:line="161" w:lineRule="exact"/>
              <w:rPr>
                <w:rFonts w:ascii="Arial" w:cs="Arial" w:eastAsia="Arial" w:hAnsi="Arial"/>
                <w:sz w:val="15"/>
                <w:szCs w:val="15"/>
                <w:color w:val="0000EE"/>
              </w:rPr>
            </w:pPr>
            <w:hyperlink w:anchor="page13">
              <w:r>
                <w:rPr>
                  <w:rFonts w:ascii="Arial" w:cs="Arial" w:eastAsia="Arial" w:hAnsi="Arial"/>
                  <w:sz w:val="15"/>
                  <w:szCs w:val="15"/>
                  <w:color w:val="0000EE"/>
                </w:rPr>
                <w:t>Management’s Discussion and Analysis of Financial Condition and Results of Operations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13</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7A.</w:t>
            </w:r>
          </w:p>
        </w:tc>
        <w:tc>
          <w:tcPr>
            <w:tcW w:w="5420" w:type="dxa"/>
            <w:vAlign w:val="bottom"/>
            <w:tcBorders>
              <w:top w:val="single" w:sz="8" w:color="0000EE"/>
            </w:tcBorders>
            <w:gridSpan w:val="15"/>
          </w:tcPr>
          <w:p>
            <w:pPr>
              <w:spacing w:after="0" w:line="161" w:lineRule="exact"/>
              <w:rPr>
                <w:rFonts w:ascii="Arial" w:cs="Arial" w:eastAsia="Arial" w:hAnsi="Arial"/>
                <w:sz w:val="15"/>
                <w:szCs w:val="15"/>
                <w:color w:val="0000EE"/>
              </w:rPr>
            </w:pPr>
            <w:hyperlink w:anchor="page21">
              <w:r>
                <w:rPr>
                  <w:rFonts w:ascii="Arial" w:cs="Arial" w:eastAsia="Arial" w:hAnsi="Arial"/>
                  <w:sz w:val="15"/>
                  <w:szCs w:val="15"/>
                  <w:color w:val="0000EE"/>
                </w:rPr>
                <w:t>Quantitative and Qualitative Disclosures About Market Risk</w:t>
              </w:r>
            </w:hyperlink>
          </w:p>
        </w:tc>
        <w:tc>
          <w:tcPr>
            <w:tcW w:w="2660" w:type="dxa"/>
            <w:vAlign w:val="bottom"/>
            <w:gridSpan w:val="4"/>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21</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8.</w:t>
            </w:r>
          </w:p>
        </w:tc>
        <w:tc>
          <w:tcPr>
            <w:tcW w:w="2800" w:type="dxa"/>
            <w:vAlign w:val="bottom"/>
            <w:tcBorders>
              <w:top w:val="single" w:sz="8" w:color="0000EE"/>
              <w:bottom w:val="single" w:sz="8" w:color="0000EE"/>
            </w:tcBorders>
            <w:gridSpan w:val="11"/>
          </w:tcPr>
          <w:p>
            <w:pPr>
              <w:spacing w:after="0" w:line="161" w:lineRule="exact"/>
              <w:rPr>
                <w:rFonts w:ascii="Arial" w:cs="Arial" w:eastAsia="Arial" w:hAnsi="Arial"/>
                <w:sz w:val="15"/>
                <w:szCs w:val="15"/>
                <w:color w:val="0000EE"/>
                <w:w w:val="89"/>
              </w:rPr>
            </w:pPr>
            <w:hyperlink w:anchor="page22">
              <w:r>
                <w:rPr>
                  <w:rFonts w:ascii="Arial" w:cs="Arial" w:eastAsia="Arial" w:hAnsi="Arial"/>
                  <w:sz w:val="15"/>
                  <w:szCs w:val="15"/>
                  <w:color w:val="0000EE"/>
                  <w:w w:val="89"/>
                </w:rPr>
                <w:t>Financial Statements and Supplementary Data</w:t>
              </w:r>
            </w:hyperlink>
          </w:p>
        </w:tc>
        <w:tc>
          <w:tcPr>
            <w:tcW w:w="860" w:type="dxa"/>
            <w:vAlign w:val="bottom"/>
            <w:tcBorders>
              <w:top w:val="single" w:sz="8" w:color="0000EE"/>
            </w:tcBorders>
            <w:gridSpan w:val="2"/>
          </w:tcPr>
          <w:p>
            <w:pPr>
              <w:spacing w:after="0"/>
              <w:rPr>
                <w:sz w:val="14"/>
                <w:szCs w:val="14"/>
                <w:color w:val="auto"/>
              </w:rPr>
            </w:pPr>
          </w:p>
        </w:tc>
        <w:tc>
          <w:tcPr>
            <w:tcW w:w="4420" w:type="dxa"/>
            <w:vAlign w:val="bottom"/>
            <w:gridSpan w:val="6"/>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22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9.</w:t>
            </w:r>
          </w:p>
        </w:tc>
        <w:tc>
          <w:tcPr>
            <w:tcW w:w="5480" w:type="dxa"/>
            <w:vAlign w:val="bottom"/>
            <w:tcBorders>
              <w:bottom w:val="single" w:sz="8" w:color="0000EE"/>
            </w:tcBorders>
            <w:gridSpan w:val="16"/>
          </w:tcPr>
          <w:p>
            <w:pPr>
              <w:spacing w:after="0" w:line="161" w:lineRule="exact"/>
              <w:rPr>
                <w:rFonts w:ascii="Arial" w:cs="Arial" w:eastAsia="Arial" w:hAnsi="Arial"/>
                <w:sz w:val="15"/>
                <w:szCs w:val="15"/>
                <w:color w:val="0000EE"/>
                <w:w w:val="91"/>
              </w:rPr>
            </w:pPr>
            <w:hyperlink w:anchor="page51">
              <w:r>
                <w:rPr>
                  <w:rFonts w:ascii="Arial" w:cs="Arial" w:eastAsia="Arial" w:hAnsi="Arial"/>
                  <w:sz w:val="15"/>
                  <w:szCs w:val="15"/>
                  <w:color w:val="0000EE"/>
                  <w:w w:val="91"/>
                </w:rPr>
                <w:t>Changes in and Disagreements With Accountants on Accounting and Financial Disclosure</w:t>
              </w:r>
            </w:hyperlink>
          </w:p>
        </w:tc>
        <w:tc>
          <w:tcPr>
            <w:tcW w:w="2600" w:type="dxa"/>
            <w:vAlign w:val="bottom"/>
            <w:gridSpan w:val="3"/>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9A.</w:t>
            </w:r>
          </w:p>
        </w:tc>
        <w:tc>
          <w:tcPr>
            <w:tcW w:w="8080" w:type="dxa"/>
            <w:vAlign w:val="bottom"/>
            <w:gridSpan w:val="19"/>
          </w:tcPr>
          <w:p>
            <w:pPr>
              <w:spacing w:after="0" w:line="161" w:lineRule="exact"/>
              <w:rPr>
                <w:rFonts w:ascii="Arial" w:cs="Arial" w:eastAsia="Arial" w:hAnsi="Arial"/>
                <w:sz w:val="15"/>
                <w:szCs w:val="15"/>
                <w:color w:val="0000EE"/>
              </w:rPr>
            </w:pPr>
            <w:hyperlink w:anchor="page51">
              <w:r>
                <w:rPr>
                  <w:rFonts w:ascii="Arial" w:cs="Arial" w:eastAsia="Arial" w:hAnsi="Arial"/>
                  <w:sz w:val="15"/>
                  <w:szCs w:val="15"/>
                  <w:color w:val="0000EE"/>
                </w:rPr>
                <w:t>Controls and Procedures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9B.</w:t>
            </w:r>
          </w:p>
        </w:tc>
        <w:tc>
          <w:tcPr>
            <w:tcW w:w="1480" w:type="dxa"/>
            <w:vAlign w:val="bottom"/>
            <w:tcBorders>
              <w:top w:val="single" w:sz="8" w:color="0000EE"/>
            </w:tcBorders>
            <w:gridSpan w:val="6"/>
          </w:tcPr>
          <w:p>
            <w:pPr>
              <w:spacing w:after="0" w:line="161" w:lineRule="exact"/>
              <w:rPr>
                <w:rFonts w:ascii="Arial" w:cs="Arial" w:eastAsia="Arial" w:hAnsi="Arial"/>
                <w:sz w:val="15"/>
                <w:szCs w:val="15"/>
                <w:color w:val="0000EE"/>
              </w:rPr>
            </w:pPr>
            <w:hyperlink w:anchor="page51">
              <w:r>
                <w:rPr>
                  <w:rFonts w:ascii="Arial" w:cs="Arial" w:eastAsia="Arial" w:hAnsi="Arial"/>
                  <w:sz w:val="15"/>
                  <w:szCs w:val="15"/>
                  <w:color w:val="0000EE"/>
                </w:rPr>
                <w:t>Other Information</w:t>
              </w:r>
            </w:hyperlink>
          </w:p>
        </w:tc>
        <w:tc>
          <w:tcPr>
            <w:tcW w:w="6600" w:type="dxa"/>
            <w:vAlign w:val="bottom"/>
            <w:gridSpan w:val="13"/>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51</w:t>
            </w:r>
          </w:p>
        </w:tc>
      </w:tr>
      <w:tr>
        <w:trPr>
          <w:trHeight w:val="398"/>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7"/>
          </w:tcPr>
          <w:p>
            <w:pPr>
              <w:jc w:val="center"/>
              <w:ind w:right="3520"/>
              <w:spacing w:after="0"/>
              <w:rPr>
                <w:sz w:val="20"/>
                <w:szCs w:val="20"/>
                <w:color w:val="auto"/>
              </w:rPr>
            </w:pPr>
            <w:r>
              <w:rPr>
                <w:rFonts w:ascii="Arial" w:cs="Arial" w:eastAsia="Arial" w:hAnsi="Arial"/>
                <w:sz w:val="15"/>
                <w:szCs w:val="15"/>
                <w:b w:val="1"/>
                <w:bCs w:val="1"/>
                <w:color w:val="auto"/>
              </w:rPr>
              <w:t>PART III</w:t>
            </w:r>
          </w:p>
        </w:tc>
        <w:tc>
          <w:tcPr>
            <w:tcW w:w="1420" w:type="dxa"/>
            <w:vAlign w:val="bottom"/>
          </w:tcPr>
          <w:p>
            <w:pPr>
              <w:spacing w:after="0"/>
              <w:rPr>
                <w:sz w:val="24"/>
                <w:szCs w:val="24"/>
                <w:color w:val="auto"/>
              </w:rPr>
            </w:pPr>
          </w:p>
        </w:tc>
      </w:tr>
      <w:tr>
        <w:trPr>
          <w:trHeight w:val="353"/>
        </w:trPr>
        <w:tc>
          <w:tcPr>
            <w:tcW w:w="1940" w:type="dxa"/>
            <w:vAlign w:val="bottom"/>
            <w:gridSpan w:val="3"/>
          </w:tcPr>
          <w:p>
            <w:pPr>
              <w:spacing w:after="0"/>
              <w:rPr>
                <w:sz w:val="20"/>
                <w:szCs w:val="20"/>
                <w:color w:val="auto"/>
              </w:rPr>
            </w:pPr>
            <w:r>
              <w:rPr>
                <w:rFonts w:ascii="Arial" w:cs="Arial" w:eastAsia="Arial" w:hAnsi="Arial"/>
                <w:sz w:val="15"/>
                <w:szCs w:val="15"/>
                <w:color w:val="auto"/>
              </w:rPr>
              <w:t>Item 10.</w:t>
            </w:r>
          </w:p>
        </w:tc>
        <w:tc>
          <w:tcPr>
            <w:tcW w:w="8080" w:type="dxa"/>
            <w:vAlign w:val="bottom"/>
            <w:gridSpan w:val="19"/>
          </w:tcPr>
          <w:p>
            <w:pPr>
              <w:spacing w:after="0"/>
              <w:rPr>
                <w:rFonts w:ascii="Arial" w:cs="Arial" w:eastAsia="Arial" w:hAnsi="Arial"/>
                <w:sz w:val="15"/>
                <w:szCs w:val="15"/>
                <w:color w:val="0000EE"/>
              </w:rPr>
            </w:pPr>
            <w:hyperlink w:anchor="page52">
              <w:r>
                <w:rPr>
                  <w:rFonts w:ascii="Arial" w:cs="Arial" w:eastAsia="Arial" w:hAnsi="Arial"/>
                  <w:sz w:val="15"/>
                  <w:szCs w:val="15"/>
                  <w:color w:val="0000EE"/>
                </w:rPr>
                <w:t>Directors and Executive Officers of the Company</w:t>
              </w:r>
            </w:hyperlink>
          </w:p>
        </w:tc>
        <w:tc>
          <w:tcPr>
            <w:tcW w:w="1420" w:type="dxa"/>
            <w:vAlign w:val="bottom"/>
          </w:tcPr>
          <w:p>
            <w:pPr>
              <w:jc w:val="right"/>
              <w:spacing w:after="0"/>
              <w:rPr>
                <w:sz w:val="20"/>
                <w:szCs w:val="20"/>
                <w:color w:val="auto"/>
              </w:rPr>
            </w:pPr>
            <w:r>
              <w:rPr>
                <w:rFonts w:ascii="Arial" w:cs="Arial" w:eastAsia="Arial" w:hAnsi="Arial"/>
                <w:sz w:val="15"/>
                <w:szCs w:val="15"/>
                <w:color w:val="auto"/>
              </w:rPr>
              <w:t>52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11.</w:t>
            </w:r>
          </w:p>
        </w:tc>
        <w:tc>
          <w:tcPr>
            <w:tcW w:w="1520" w:type="dxa"/>
            <w:vAlign w:val="bottom"/>
            <w:tcBorders>
              <w:top w:val="single" w:sz="8" w:color="0000EE"/>
              <w:bottom w:val="single" w:sz="8" w:color="0000EE"/>
            </w:tcBorders>
            <w:gridSpan w:val="7"/>
          </w:tcPr>
          <w:p>
            <w:pPr>
              <w:spacing w:after="0" w:line="161" w:lineRule="exact"/>
              <w:rPr>
                <w:rFonts w:ascii="Arial" w:cs="Arial" w:eastAsia="Arial" w:hAnsi="Arial"/>
                <w:sz w:val="15"/>
                <w:szCs w:val="15"/>
                <w:color w:val="0000EE"/>
                <w:w w:val="90"/>
              </w:rPr>
            </w:pPr>
            <w:hyperlink w:anchor="page52">
              <w:r>
                <w:rPr>
                  <w:rFonts w:ascii="Arial" w:cs="Arial" w:eastAsia="Arial" w:hAnsi="Arial"/>
                  <w:sz w:val="15"/>
                  <w:szCs w:val="15"/>
                  <w:color w:val="0000EE"/>
                  <w:w w:val="90"/>
                </w:rPr>
                <w:t>Executive Compensation</w:t>
              </w:r>
            </w:hyperlink>
          </w:p>
        </w:tc>
        <w:tc>
          <w:tcPr>
            <w:tcW w:w="1480" w:type="dxa"/>
            <w:vAlign w:val="bottom"/>
            <w:tcBorders>
              <w:top w:val="single" w:sz="8" w:color="0000EE"/>
            </w:tcBorders>
            <w:gridSpan w:val="5"/>
          </w:tcPr>
          <w:p>
            <w:pPr>
              <w:spacing w:after="0"/>
              <w:rPr>
                <w:sz w:val="14"/>
                <w:szCs w:val="14"/>
                <w:color w:val="auto"/>
              </w:rPr>
            </w:pPr>
          </w:p>
        </w:tc>
        <w:tc>
          <w:tcPr>
            <w:tcW w:w="5080" w:type="dxa"/>
            <w:vAlign w:val="bottom"/>
            <w:gridSpan w:val="7"/>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12.</w:t>
            </w:r>
          </w:p>
        </w:tc>
        <w:tc>
          <w:tcPr>
            <w:tcW w:w="8080" w:type="dxa"/>
            <w:vAlign w:val="bottom"/>
            <w:gridSpan w:val="19"/>
          </w:tcPr>
          <w:p>
            <w:pPr>
              <w:spacing w:after="0" w:line="161" w:lineRule="exact"/>
              <w:rPr>
                <w:rFonts w:ascii="Arial" w:cs="Arial" w:eastAsia="Arial" w:hAnsi="Arial"/>
                <w:sz w:val="15"/>
                <w:szCs w:val="15"/>
                <w:color w:val="0000EE"/>
              </w:rPr>
            </w:pPr>
            <w:hyperlink w:anchor="page52">
              <w:r>
                <w:rPr>
                  <w:rFonts w:ascii="Arial" w:cs="Arial" w:eastAsia="Arial" w:hAnsi="Arial"/>
                  <w:sz w:val="15"/>
                  <w:szCs w:val="15"/>
                  <w:color w:val="0000EE"/>
                </w:rPr>
                <w:t>Security Ownership of Certain Beneficial Owners and Management and Related Stockholder Matters</w:t>
              </w:r>
            </w:hyperlink>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13.</w:t>
            </w:r>
          </w:p>
        </w:tc>
        <w:tc>
          <w:tcPr>
            <w:tcW w:w="6120" w:type="dxa"/>
            <w:vAlign w:val="bottom"/>
            <w:tcBorders>
              <w:top w:val="single" w:sz="8" w:color="0000EE"/>
            </w:tcBorders>
            <w:gridSpan w:val="17"/>
          </w:tcPr>
          <w:p>
            <w:pPr>
              <w:spacing w:after="0" w:line="161" w:lineRule="exact"/>
              <w:rPr>
                <w:rFonts w:ascii="Arial" w:cs="Arial" w:eastAsia="Arial" w:hAnsi="Arial"/>
                <w:sz w:val="15"/>
                <w:szCs w:val="15"/>
                <w:color w:val="0000EE"/>
              </w:rPr>
            </w:pPr>
            <w:hyperlink w:anchor="page52">
              <w:r>
                <w:rPr>
                  <w:rFonts w:ascii="Arial" w:cs="Arial" w:eastAsia="Arial" w:hAnsi="Arial"/>
                  <w:sz w:val="15"/>
                  <w:szCs w:val="15"/>
                  <w:color w:val="0000EE"/>
                </w:rPr>
                <w:t>Certain Relationships and Related Transactions, and Director Independence</w:t>
              </w:r>
            </w:hyperlink>
          </w:p>
        </w:tc>
        <w:tc>
          <w:tcPr>
            <w:tcW w:w="1960" w:type="dxa"/>
            <w:vAlign w:val="bottom"/>
            <w:gridSpan w:val="2"/>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162"/>
        </w:trPr>
        <w:tc>
          <w:tcPr>
            <w:tcW w:w="1940" w:type="dxa"/>
            <w:vAlign w:val="bottom"/>
            <w:gridSpan w:val="3"/>
          </w:tcPr>
          <w:p>
            <w:pPr>
              <w:spacing w:after="0" w:line="161" w:lineRule="exact"/>
              <w:rPr>
                <w:sz w:val="20"/>
                <w:szCs w:val="20"/>
                <w:color w:val="auto"/>
              </w:rPr>
            </w:pPr>
            <w:r>
              <w:rPr>
                <w:rFonts w:ascii="Arial" w:cs="Arial" w:eastAsia="Arial" w:hAnsi="Arial"/>
                <w:sz w:val="15"/>
                <w:szCs w:val="15"/>
                <w:color w:val="auto"/>
              </w:rPr>
              <w:t>Item 14.</w:t>
            </w:r>
          </w:p>
        </w:tc>
        <w:tc>
          <w:tcPr>
            <w:tcW w:w="4580" w:type="dxa"/>
            <w:vAlign w:val="bottom"/>
            <w:tcBorders>
              <w:top w:val="single" w:sz="8" w:color="0000EE"/>
            </w:tcBorders>
            <w:gridSpan w:val="14"/>
          </w:tcPr>
          <w:p>
            <w:pPr>
              <w:spacing w:after="0" w:line="161" w:lineRule="exact"/>
              <w:rPr>
                <w:rFonts w:ascii="Arial" w:cs="Arial" w:eastAsia="Arial" w:hAnsi="Arial"/>
                <w:sz w:val="15"/>
                <w:szCs w:val="15"/>
                <w:color w:val="0000EE"/>
              </w:rPr>
            </w:pPr>
            <w:hyperlink w:anchor="page52">
              <w:r>
                <w:rPr>
                  <w:rFonts w:ascii="Arial" w:cs="Arial" w:eastAsia="Arial" w:hAnsi="Arial"/>
                  <w:sz w:val="15"/>
                  <w:szCs w:val="15"/>
                  <w:color w:val="0000EE"/>
                </w:rPr>
                <w:t>Principal Accountant Fees and Services</w:t>
              </w:r>
            </w:hyperlink>
          </w:p>
        </w:tc>
        <w:tc>
          <w:tcPr>
            <w:tcW w:w="3500" w:type="dxa"/>
            <w:vAlign w:val="bottom"/>
            <w:gridSpan w:val="5"/>
          </w:tcPr>
          <w:p>
            <w:pPr>
              <w:spacing w:after="0"/>
              <w:rPr>
                <w:sz w:val="14"/>
                <w:szCs w:val="14"/>
                <w:color w:val="auto"/>
              </w:rPr>
            </w:pPr>
          </w:p>
        </w:tc>
        <w:tc>
          <w:tcPr>
            <w:tcW w:w="1420" w:type="dxa"/>
            <w:vAlign w:val="bottom"/>
          </w:tcPr>
          <w:p>
            <w:pPr>
              <w:jc w:val="right"/>
              <w:spacing w:after="0" w:line="161" w:lineRule="exact"/>
              <w:rPr>
                <w:sz w:val="20"/>
                <w:szCs w:val="20"/>
                <w:color w:val="auto"/>
              </w:rPr>
            </w:pPr>
            <w:r>
              <w:rPr>
                <w:rFonts w:ascii="Arial" w:cs="Arial" w:eastAsia="Arial" w:hAnsi="Arial"/>
                <w:sz w:val="15"/>
                <w:szCs w:val="15"/>
                <w:color w:val="auto"/>
              </w:rPr>
              <w:t>52</w:t>
            </w:r>
          </w:p>
        </w:tc>
      </w:tr>
      <w:tr>
        <w:trPr>
          <w:trHeight w:val="431"/>
        </w:trPr>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80" w:type="dxa"/>
            <w:vAlign w:val="bottom"/>
            <w:gridSpan w:val="7"/>
          </w:tcPr>
          <w:p>
            <w:pPr>
              <w:jc w:val="center"/>
              <w:ind w:right="3520"/>
              <w:spacing w:after="0"/>
              <w:rPr>
                <w:sz w:val="20"/>
                <w:szCs w:val="20"/>
                <w:color w:val="auto"/>
              </w:rPr>
            </w:pPr>
            <w:r>
              <w:rPr>
                <w:rFonts w:ascii="Arial" w:cs="Arial" w:eastAsia="Arial" w:hAnsi="Arial"/>
                <w:sz w:val="18"/>
                <w:szCs w:val="18"/>
                <w:b w:val="1"/>
                <w:bCs w:val="1"/>
                <w:color w:val="auto"/>
              </w:rPr>
              <w:t>PART IV</w:t>
            </w:r>
          </w:p>
        </w:tc>
        <w:tc>
          <w:tcPr>
            <w:tcW w:w="1420" w:type="dxa"/>
            <w:vAlign w:val="bottom"/>
          </w:tcPr>
          <w:p>
            <w:pPr>
              <w:spacing w:after="0"/>
              <w:rPr>
                <w:sz w:val="24"/>
                <w:szCs w:val="24"/>
                <w:color w:val="auto"/>
              </w:rPr>
            </w:pPr>
          </w:p>
        </w:tc>
      </w:tr>
      <w:tr>
        <w:trPr>
          <w:trHeight w:val="343"/>
        </w:trPr>
        <w:tc>
          <w:tcPr>
            <w:tcW w:w="1940" w:type="dxa"/>
            <w:vAlign w:val="bottom"/>
            <w:gridSpan w:val="3"/>
          </w:tcPr>
          <w:p>
            <w:pPr>
              <w:spacing w:after="0"/>
              <w:rPr>
                <w:sz w:val="20"/>
                <w:szCs w:val="20"/>
                <w:color w:val="auto"/>
              </w:rPr>
            </w:pPr>
            <w:r>
              <w:rPr>
                <w:rFonts w:ascii="Arial" w:cs="Arial" w:eastAsia="Arial" w:hAnsi="Arial"/>
                <w:sz w:val="15"/>
                <w:szCs w:val="15"/>
                <w:color w:val="auto"/>
              </w:rPr>
              <w:t>Item 15.</w:t>
            </w:r>
          </w:p>
        </w:tc>
        <w:tc>
          <w:tcPr>
            <w:tcW w:w="8080" w:type="dxa"/>
            <w:vAlign w:val="bottom"/>
            <w:gridSpan w:val="19"/>
          </w:tcPr>
          <w:p>
            <w:pPr>
              <w:spacing w:after="0"/>
              <w:rPr>
                <w:rFonts w:ascii="Arial" w:cs="Arial" w:eastAsia="Arial" w:hAnsi="Arial"/>
                <w:sz w:val="15"/>
                <w:szCs w:val="15"/>
                <w:color w:val="0000EE"/>
              </w:rPr>
            </w:pPr>
            <w:hyperlink w:anchor="page53">
              <w:r>
                <w:rPr>
                  <w:rFonts w:ascii="Arial" w:cs="Arial" w:eastAsia="Arial" w:hAnsi="Arial"/>
                  <w:sz w:val="15"/>
                  <w:szCs w:val="15"/>
                  <w:color w:val="0000EE"/>
                </w:rPr>
                <w:t>Exhibits and Financial Statement Schedules</w:t>
              </w:r>
            </w:hyperlink>
          </w:p>
        </w:tc>
        <w:tc>
          <w:tcPr>
            <w:tcW w:w="1420" w:type="dxa"/>
            <w:vAlign w:val="bottom"/>
          </w:tcPr>
          <w:p>
            <w:pPr>
              <w:jc w:val="right"/>
              <w:spacing w:after="0"/>
              <w:rPr>
                <w:sz w:val="20"/>
                <w:szCs w:val="20"/>
                <w:color w:val="auto"/>
              </w:rPr>
            </w:pPr>
            <w:r>
              <w:rPr>
                <w:rFonts w:ascii="Arial" w:cs="Arial" w:eastAsia="Arial" w:hAnsi="Arial"/>
                <w:sz w:val="15"/>
                <w:szCs w:val="15"/>
                <w:color w:val="auto"/>
              </w:rPr>
              <w:t>53</w:t>
            </w:r>
          </w:p>
        </w:tc>
      </w:tr>
      <w:tr>
        <w:trPr>
          <w:trHeight w:val="366"/>
        </w:trPr>
        <w:tc>
          <w:tcPr>
            <w:tcW w:w="920" w:type="dxa"/>
            <w:vAlign w:val="bottom"/>
            <w:tcBorders>
              <w:bottom w:val="single" w:sz="8" w:color="0000EE"/>
            </w:tcBorders>
          </w:tcPr>
          <w:p>
            <w:pPr>
              <w:spacing w:after="0"/>
              <w:rPr>
                <w:rFonts w:ascii="Arial" w:cs="Arial" w:eastAsia="Arial" w:hAnsi="Arial"/>
                <w:sz w:val="15"/>
                <w:szCs w:val="15"/>
                <w:color w:val="0000EE"/>
                <w:w w:val="92"/>
              </w:rPr>
            </w:pPr>
            <w:hyperlink w:anchor="page54">
              <w:r>
                <w:rPr>
                  <w:rFonts w:ascii="Arial" w:cs="Arial" w:eastAsia="Arial" w:hAnsi="Arial"/>
                  <w:sz w:val="15"/>
                  <w:szCs w:val="15"/>
                  <w:color w:val="0000EE"/>
                  <w:w w:val="92"/>
                </w:rPr>
                <w:t>SIGNATURES</w:t>
              </w:r>
            </w:hyperlink>
          </w:p>
        </w:tc>
        <w:tc>
          <w:tcPr>
            <w:tcW w:w="1020" w:type="dxa"/>
            <w:vAlign w:val="bottom"/>
            <w:gridSpan w:val="2"/>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54</w:t>
            </w:r>
          </w:p>
        </w:tc>
      </w:tr>
      <w:tr>
        <w:trPr>
          <w:trHeight w:val="366"/>
        </w:trPr>
        <w:tc>
          <w:tcPr>
            <w:tcW w:w="1940" w:type="dxa"/>
            <w:vAlign w:val="bottom"/>
            <w:gridSpan w:val="3"/>
          </w:tcPr>
          <w:p>
            <w:pPr>
              <w:spacing w:after="0"/>
              <w:rPr>
                <w:rFonts w:ascii="Arial" w:cs="Arial" w:eastAsia="Arial" w:hAnsi="Arial"/>
                <w:sz w:val="15"/>
                <w:szCs w:val="15"/>
                <w:color w:val="0000EE"/>
              </w:rPr>
            </w:pPr>
            <w:hyperlink w:anchor="page55">
              <w:r>
                <w:rPr>
                  <w:rFonts w:ascii="Arial" w:cs="Arial" w:eastAsia="Arial" w:hAnsi="Arial"/>
                  <w:sz w:val="15"/>
                  <w:szCs w:val="15"/>
                  <w:color w:val="0000EE"/>
                </w:rPr>
                <w:t>INDEX TO EXHIBITS</w:t>
              </w:r>
            </w:hyperlink>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55</w:t>
            </w:r>
          </w:p>
        </w:tc>
      </w:tr>
      <w:tr>
        <w:trPr>
          <w:trHeight w:val="827"/>
        </w:trPr>
        <w:tc>
          <w:tcPr>
            <w:tcW w:w="920" w:type="dxa"/>
            <w:vAlign w:val="bottom"/>
            <w:tcBorders>
              <w:top w:val="single" w:sz="8" w:color="0000EE"/>
              <w:bottom w:val="single" w:sz="8" w:color="808080"/>
            </w:tcBorders>
          </w:tcPr>
          <w:p>
            <w:pPr>
              <w:spacing w:after="0"/>
              <w:rPr>
                <w:sz w:val="24"/>
                <w:szCs w:val="24"/>
                <w:color w:val="auto"/>
              </w:rPr>
            </w:pPr>
          </w:p>
        </w:tc>
        <w:tc>
          <w:tcPr>
            <w:tcW w:w="500" w:type="dxa"/>
            <w:vAlign w:val="bottom"/>
            <w:tcBorders>
              <w:top w:val="single" w:sz="8" w:color="0000EE"/>
              <w:bottom w:val="single" w:sz="8" w:color="808080"/>
            </w:tcBorders>
          </w:tcPr>
          <w:p>
            <w:pPr>
              <w:spacing w:after="0"/>
              <w:rPr>
                <w:sz w:val="24"/>
                <w:szCs w:val="24"/>
                <w:color w:val="auto"/>
              </w:rPr>
            </w:pPr>
          </w:p>
        </w:tc>
        <w:tc>
          <w:tcPr>
            <w:tcW w:w="52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84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1260" w:type="dxa"/>
            <w:vAlign w:val="bottom"/>
            <w:tcBorders>
              <w:bottom w:val="single" w:sz="8" w:color="808080"/>
            </w:tcBorders>
          </w:tcPr>
          <w:p>
            <w:pPr>
              <w:spacing w:after="0"/>
              <w:rPr>
                <w:sz w:val="24"/>
                <w:szCs w:val="24"/>
                <w:color w:val="auto"/>
              </w:rPr>
            </w:pPr>
          </w:p>
        </w:tc>
        <w:tc>
          <w:tcPr>
            <w:tcW w:w="14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 w:name="page3"/>
    <w:bookmarkEnd w:id="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PART I</w:t>
      </w:r>
    </w:p>
    <w:p>
      <w:pPr>
        <w:spacing w:after="0" w:line="217"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Item 1. Business</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GENERAL DISCUSSION</w:t>
      </w:r>
    </w:p>
    <w:p>
      <w:pPr>
        <w:spacing w:after="0" w:line="213"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Frequency Electronics, Inc. (sometimes referred to as "Registrant", "Frequency Electronics" or the "Company") is a world leader in precision time and frequency technology which is employed in commercial, government, Command, Control, Communication, Computer, Intelligence, Security and Reconnaissance (“C4ISR”) and other military electronic systems. Its technology is used for a wide range of terrestrial and space applications.</w:t>
      </w:r>
    </w:p>
    <w:p>
      <w:pPr>
        <w:spacing w:after="0" w:line="177" w:lineRule="exact"/>
        <w:rPr>
          <w:sz w:val="20"/>
          <w:szCs w:val="20"/>
          <w:color w:val="auto"/>
        </w:rPr>
      </w:pPr>
    </w:p>
    <w:p>
      <w:pPr>
        <w:jc w:val="both"/>
        <w:ind w:left="9" w:right="20" w:firstLine="408"/>
        <w:spacing w:after="0" w:line="265" w:lineRule="auto"/>
        <w:rPr>
          <w:sz w:val="20"/>
          <w:szCs w:val="20"/>
          <w:color w:val="auto"/>
        </w:rPr>
      </w:pPr>
      <w:r>
        <w:rPr>
          <w:rFonts w:ascii="Arial" w:cs="Arial" w:eastAsia="Arial" w:hAnsi="Arial"/>
          <w:sz w:val="15"/>
          <w:szCs w:val="15"/>
          <w:color w:val="auto"/>
        </w:rPr>
        <w:t xml:space="preserve">Unless the context indicates otherwise, references to the Registrant or the Company are to Frequency Electronics, Inc. and its subsidiaries. References to “FEI” are to the parent company alone and do not refer to any of the subsidiaries. Frequency Electronics, a Delaware corporation, has its principal executive office at 55 Charles Lindbergh Boulevard, Mitchel Field, New York 11553. Its telephone number is 516-794-4500 and its website is </w:t>
      </w:r>
      <w:r>
        <w:rPr>
          <w:rFonts w:ascii="Arial" w:cs="Arial" w:eastAsia="Arial" w:hAnsi="Arial"/>
          <w:sz w:val="15"/>
          <w:szCs w:val="15"/>
          <w:i w:val="1"/>
          <w:iCs w:val="1"/>
          <w:u w:val="single" w:color="auto"/>
          <w:color w:val="auto"/>
        </w:rPr>
        <w:t>www.frequencyelectronics.com</w:t>
      </w:r>
      <w:r>
        <w:rPr>
          <w:rFonts w:ascii="Arial" w:cs="Arial" w:eastAsia="Arial" w:hAnsi="Arial"/>
          <w:sz w:val="15"/>
          <w:szCs w:val="15"/>
          <w:i w:val="1"/>
          <w:iCs w:val="1"/>
          <w:color w:val="auto"/>
        </w:rPr>
        <w:t>.</w:t>
      </w:r>
    </w:p>
    <w:p>
      <w:pPr>
        <w:spacing w:after="0" w:line="177" w:lineRule="exact"/>
        <w:rPr>
          <w:sz w:val="20"/>
          <w:szCs w:val="20"/>
          <w:color w:val="auto"/>
        </w:rPr>
      </w:pPr>
    </w:p>
    <w:p>
      <w:pPr>
        <w:jc w:val="both"/>
        <w:ind w:left="9" w:firstLine="408"/>
        <w:spacing w:after="0" w:line="285" w:lineRule="auto"/>
        <w:rPr>
          <w:sz w:val="20"/>
          <w:szCs w:val="20"/>
          <w:color w:val="auto"/>
        </w:rPr>
      </w:pPr>
      <w:r>
        <w:rPr>
          <w:rFonts w:ascii="Arial" w:cs="Arial" w:eastAsia="Arial" w:hAnsi="Arial"/>
          <w:sz w:val="14"/>
          <w:szCs w:val="14"/>
          <w:color w:val="auto"/>
        </w:rPr>
        <w:t>Frequency Electronics was founded in 1961 as a research and development firm generating proprietary precision time and frequency technology primarily under contracts for end-use by the United States (“U.S.”) Government. In the mid-1990’s, the Company evolved into a designer, developer and manufacturer of state-of-the-art products for both commercial and government end-use. The Company’s present mission is to be the world leader in providing precision time and low phase noise frequency generation systems, from 1 Hz to 46 GHz for space and other challenging environments. The Company’s technology is the key element in enhancing the functionality and performance of many electronic systems.</w:t>
      </w:r>
    </w:p>
    <w:p>
      <w:pPr>
        <w:spacing w:after="0" w:line="166"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MARKETS</w:t>
      </w:r>
    </w:p>
    <w:p>
      <w:pPr>
        <w:spacing w:after="0" w:line="213" w:lineRule="exact"/>
        <w:rPr>
          <w:sz w:val="20"/>
          <w:szCs w:val="20"/>
          <w:color w:val="auto"/>
        </w:rPr>
      </w:pPr>
    </w:p>
    <w:p>
      <w:pPr>
        <w:jc w:val="both"/>
        <w:ind w:left="9" w:right="20" w:firstLine="408"/>
        <w:spacing w:after="0" w:line="258" w:lineRule="auto"/>
        <w:rPr>
          <w:sz w:val="20"/>
          <w:szCs w:val="20"/>
          <w:color w:val="auto"/>
        </w:rPr>
      </w:pPr>
      <w:r>
        <w:rPr>
          <w:rFonts w:ascii="Arial" w:cs="Arial" w:eastAsia="Arial" w:hAnsi="Arial"/>
          <w:sz w:val="15"/>
          <w:szCs w:val="15"/>
          <w:color w:val="auto"/>
        </w:rPr>
        <w:t>The Company’s dominant business area is satellite payloads, a market in which it has a unique legacy of providing master timing systems, power converters, and frequency generation, synthesis and distribution systems. It is currently addressing new opportunities in frequency converters, transmitters and receivers, representing a significant increase in the potential revenue for FEI products on any one satellite. These products support primary and hosted payloads for both commercial and U.S. Government end-use. Currently, approximately one thousand satellites with varying remaining years of useful life are operating in High/Geostationary, Medium and Low Earth Orbits. This number of operational satellites is expected to continue to grow over the next ten years as many new satellites are added and older ones are replaced.</w:t>
      </w:r>
    </w:p>
    <w:p>
      <w:pPr>
        <w:spacing w:after="0" w:line="185" w:lineRule="exact"/>
        <w:rPr>
          <w:sz w:val="20"/>
          <w:szCs w:val="20"/>
          <w:color w:val="auto"/>
        </w:rPr>
      </w:pPr>
    </w:p>
    <w:p>
      <w:pPr>
        <w:jc w:val="both"/>
        <w:ind w:left="9" w:right="20" w:firstLine="408"/>
        <w:spacing w:after="0" w:line="265" w:lineRule="auto"/>
        <w:rPr>
          <w:sz w:val="20"/>
          <w:szCs w:val="20"/>
          <w:color w:val="auto"/>
        </w:rPr>
      </w:pPr>
      <w:r>
        <w:rPr>
          <w:rFonts w:ascii="Arial" w:cs="Arial" w:eastAsia="Arial" w:hAnsi="Arial"/>
          <w:sz w:val="15"/>
          <w:szCs w:val="15"/>
          <w:color w:val="auto"/>
        </w:rPr>
        <w:t>The Company’s products support multiple C4ISR counter measures and additional defense electronic applications for the U.S. Government on land, sea and air-borne platforms. Recently identified threats to the communication capabilities of U.S. Government facilities through jamming or “spoofing” GPS signals may be mitigated by the Company’s technologies. High precision, ruggedized clocks combined with specialized software are essential for communication and operational security.</w:t>
      </w:r>
    </w:p>
    <w:p>
      <w:pPr>
        <w:spacing w:after="0" w:line="177" w:lineRule="exact"/>
        <w:rPr>
          <w:sz w:val="20"/>
          <w:szCs w:val="20"/>
          <w:color w:val="auto"/>
        </w:rPr>
      </w:pPr>
    </w:p>
    <w:p>
      <w:pPr>
        <w:jc w:val="both"/>
        <w:ind w:left="9" w:right="20" w:firstLine="408"/>
        <w:spacing w:after="0" w:line="261" w:lineRule="auto"/>
        <w:rPr>
          <w:sz w:val="20"/>
          <w:szCs w:val="20"/>
          <w:color w:val="auto"/>
        </w:rPr>
      </w:pPr>
      <w:r>
        <w:rPr>
          <w:rFonts w:ascii="Arial" w:cs="Arial" w:eastAsia="Arial" w:hAnsi="Arial"/>
          <w:sz w:val="15"/>
          <w:szCs w:val="15"/>
          <w:color w:val="auto"/>
        </w:rPr>
        <w:t>Commercial markets include network infrastructure and other industrial uses. The Company’s products support precise signal synchronization in mobile and wireline communication networks to maintain quality of service. Its products support expanded bandwidth and security in public and enterprise networks. The vast world-wide wireline network infrastructure incorporates thousands of central offices which provide network integrity and interconnectivity. The Company provides remote terminal units (“RTUs”) for management of networks such as power grids and gas lines as well as specialized timing technology for oil and gas exploration.</w:t>
      </w:r>
    </w:p>
    <w:p>
      <w:pPr>
        <w:spacing w:after="0" w:line="180" w:lineRule="exact"/>
        <w:rPr>
          <w:sz w:val="20"/>
          <w:szCs w:val="20"/>
          <w:color w:val="auto"/>
        </w:rPr>
      </w:pPr>
    </w:p>
    <w:p>
      <w:pPr>
        <w:ind w:left="409"/>
        <w:spacing w:after="0"/>
        <w:rPr>
          <w:sz w:val="20"/>
          <w:szCs w:val="20"/>
          <w:color w:val="auto"/>
        </w:rPr>
      </w:pPr>
      <w:r>
        <w:rPr>
          <w:rFonts w:ascii="Arial" w:cs="Arial" w:eastAsia="Arial" w:hAnsi="Arial"/>
          <w:sz w:val="13"/>
          <w:szCs w:val="13"/>
          <w:color w:val="auto"/>
        </w:rPr>
        <w:t>To address these markets, the Company has several corporate entities which operate under three reportable segments primarily based on the geographic locations of its subsidiaries.</w:t>
      </w:r>
    </w:p>
    <w:p>
      <w:pPr>
        <w:spacing w:after="0" w:line="232" w:lineRule="exact"/>
        <w:rPr>
          <w:sz w:val="20"/>
          <w:szCs w:val="20"/>
          <w:color w:val="auto"/>
        </w:rPr>
      </w:pPr>
    </w:p>
    <w:p>
      <w:pPr>
        <w:jc w:val="both"/>
        <w:ind w:left="409" w:right="20" w:hanging="409"/>
        <w:spacing w:after="0" w:line="268" w:lineRule="auto"/>
        <w:tabs>
          <w:tab w:leader="none" w:pos="409" w:val="left"/>
        </w:tabs>
        <w:numPr>
          <w:ilvl w:val="0"/>
          <w:numId w:val="3"/>
        </w:numPr>
        <w:rPr>
          <w:rFonts w:ascii="Arial" w:cs="Arial" w:eastAsia="Arial" w:hAnsi="Arial"/>
          <w:sz w:val="15"/>
          <w:szCs w:val="15"/>
          <w:color w:val="auto"/>
        </w:rPr>
      </w:pPr>
      <w:r>
        <w:rPr>
          <w:rFonts w:ascii="Arial" w:cs="Arial" w:eastAsia="Arial" w:hAnsi="Arial"/>
          <w:sz w:val="15"/>
          <w:szCs w:val="15"/>
          <w:b w:val="1"/>
          <w:bCs w:val="1"/>
          <w:u w:val="single" w:color="auto"/>
          <w:color w:val="auto"/>
        </w:rPr>
        <w:t>FEI-NY</w:t>
      </w:r>
      <w:r>
        <w:rPr>
          <w:rFonts w:ascii="Arial" w:cs="Arial" w:eastAsia="Arial" w:hAnsi="Arial"/>
          <w:sz w:val="15"/>
          <w:szCs w:val="15"/>
          <w:b w:val="1"/>
          <w:bCs w:val="1"/>
          <w:color w:val="auto"/>
        </w:rPr>
        <w:t xml:space="preserve"> </w:t>
      </w:r>
      <w:r>
        <w:rPr>
          <w:rFonts w:ascii="Arial" w:cs="Arial" w:eastAsia="Arial" w:hAnsi="Arial"/>
          <w:sz w:val="15"/>
          <w:szCs w:val="15"/>
          <w:color w:val="auto"/>
        </w:rPr>
        <w:t>The Company’s satellite payload products for U.S. Government and commercial satellite programs are designed, developed and manufactured at its Long Island, New York</w:t>
      </w:r>
      <w:r>
        <w:rPr>
          <w:rFonts w:ascii="Arial" w:cs="Arial" w:eastAsia="Arial" w:hAnsi="Arial"/>
          <w:sz w:val="15"/>
          <w:szCs w:val="15"/>
          <w:b w:val="1"/>
          <w:bCs w:val="1"/>
          <w:color w:val="auto"/>
        </w:rPr>
        <w:t xml:space="preserve"> </w:t>
      </w:r>
      <w:r>
        <w:rPr>
          <w:rFonts w:ascii="Arial" w:cs="Arial" w:eastAsia="Arial" w:hAnsi="Arial"/>
          <w:sz w:val="15"/>
          <w:szCs w:val="15"/>
          <w:color w:val="auto"/>
        </w:rPr>
        <w:t>facility. At this location the Company also applies its technology and legacy to products for the U.S. military and other U.S. Government agencies, as well as products for certain terrestrial commercial communications and other industrial applications.</w:t>
      </w:r>
    </w:p>
    <w:p>
      <w:pPr>
        <w:spacing w:after="0" w:line="174" w:lineRule="exact"/>
        <w:rPr>
          <w:rFonts w:ascii="Arial" w:cs="Arial" w:eastAsia="Arial" w:hAnsi="Arial"/>
          <w:sz w:val="15"/>
          <w:szCs w:val="15"/>
          <w:color w:val="auto"/>
        </w:rPr>
      </w:pPr>
    </w:p>
    <w:p>
      <w:pPr>
        <w:ind w:left="409" w:right="20"/>
        <w:spacing w:after="0" w:line="277" w:lineRule="auto"/>
        <w:rPr>
          <w:rFonts w:ascii="Arial" w:cs="Arial" w:eastAsia="Arial" w:hAnsi="Arial"/>
          <w:sz w:val="15"/>
          <w:szCs w:val="15"/>
          <w:color w:val="auto"/>
        </w:rPr>
      </w:pPr>
      <w:r>
        <w:rPr>
          <w:rFonts w:ascii="Arial" w:cs="Arial" w:eastAsia="Arial" w:hAnsi="Arial"/>
          <w:sz w:val="15"/>
          <w:szCs w:val="15"/>
          <w:color w:val="auto"/>
        </w:rPr>
        <w:t>Frequency Electronics, Inc. Asia (“FEI-Asia”) was established in fiscal year 2002 to be the Company’s Asia-based low cost manufacturer of certain commercial communications products used primarily in the wireless and wireline markets. FEI-Asia is located in the Free-Trade Zone in Tianjin, China.</w:t>
      </w:r>
    </w:p>
    <w:p>
      <w:pPr>
        <w:spacing w:after="0" w:line="294"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9"/>
          </w:cols>
          <w:pgMar w:left="231" w:top="124" w:right="199" w:bottom="1440" w:gutter="0" w:footer="0" w:header="0"/>
        </w:sectPr>
      </w:pPr>
    </w:p>
    <w:bookmarkStart w:id="3" w:name="page4"/>
    <w:bookmarkEnd w:id="3"/>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left="409" w:right="20"/>
        <w:spacing w:after="0" w:line="261" w:lineRule="auto"/>
        <w:rPr>
          <w:sz w:val="20"/>
          <w:szCs w:val="20"/>
          <w:color w:val="auto"/>
        </w:rPr>
      </w:pPr>
      <w:r>
        <w:rPr>
          <w:rFonts w:ascii="Arial" w:cs="Arial" w:eastAsia="Arial" w:hAnsi="Arial"/>
          <w:sz w:val="15"/>
          <w:szCs w:val="15"/>
          <w:color w:val="auto"/>
        </w:rPr>
        <w:t>In February 2012, the Company completed the acquisition of FEI-Elcom Tech, Inc. (“FEI-Elcom”) which designs and manufactures RF microwave devices and subsystems up to 46 GHz including fast switching, ultra low phase noise synthesizers, up-down converters, receivers, ceramic resonant oscillators and dielectric resonant oscillators. These instruments and components are critical for communication, surveillance, signal intelligence, automatic testing, satellite ground stations and satellite payloads. FEI-Elcom’s RF microwave technology has also been utilized to develop new products for application in the Company’s satellite payload area.</w:t>
      </w:r>
    </w:p>
    <w:p>
      <w:pPr>
        <w:spacing w:after="0" w:line="176" w:lineRule="exact"/>
        <w:rPr>
          <w:sz w:val="20"/>
          <w:szCs w:val="20"/>
          <w:color w:val="auto"/>
        </w:rPr>
      </w:pPr>
    </w:p>
    <w:p>
      <w:pPr>
        <w:ind w:left="409" w:right="40" w:hanging="409"/>
        <w:spacing w:after="0" w:line="320" w:lineRule="auto"/>
        <w:tabs>
          <w:tab w:leader="none" w:pos="409" w:val="left"/>
        </w:tabs>
        <w:numPr>
          <w:ilvl w:val="0"/>
          <w:numId w:val="4"/>
        </w:numPr>
        <w:rPr>
          <w:rFonts w:ascii="Arial" w:cs="Arial" w:eastAsia="Arial" w:hAnsi="Arial"/>
          <w:sz w:val="14"/>
          <w:szCs w:val="14"/>
          <w:color w:val="auto"/>
        </w:rPr>
      </w:pPr>
      <w:r>
        <w:rPr>
          <w:rFonts w:ascii="Arial" w:cs="Arial" w:eastAsia="Arial" w:hAnsi="Arial"/>
          <w:sz w:val="14"/>
          <w:szCs w:val="14"/>
          <w:b w:val="1"/>
          <w:bCs w:val="1"/>
          <w:u w:val="single" w:color="auto"/>
          <w:color w:val="auto"/>
        </w:rPr>
        <w:t>Gillam-FEI</w:t>
      </w:r>
      <w:r>
        <w:rPr>
          <w:rFonts w:ascii="Arial" w:cs="Arial" w:eastAsia="Arial" w:hAnsi="Arial"/>
          <w:sz w:val="14"/>
          <w:szCs w:val="14"/>
          <w:b w:val="1"/>
          <w:bCs w:val="1"/>
          <w:color w:val="auto"/>
        </w:rPr>
        <w:t xml:space="preserve"> </w:t>
      </w:r>
      <w:r>
        <w:rPr>
          <w:rFonts w:ascii="Arial" w:cs="Arial" w:eastAsia="Arial" w:hAnsi="Arial"/>
          <w:sz w:val="14"/>
          <w:szCs w:val="14"/>
          <w:color w:val="auto"/>
        </w:rPr>
        <w:t>- The Company acquired its Belgian subsidiary, Gillam-FEI, s.a. (“Gillam-FEI”) in September 2000. Gillam-FEI develops and manufactures products for various</w:t>
      </w:r>
      <w:r>
        <w:rPr>
          <w:rFonts w:ascii="Arial" w:cs="Arial" w:eastAsia="Arial" w:hAnsi="Arial"/>
          <w:sz w:val="14"/>
          <w:szCs w:val="14"/>
          <w:b w:val="1"/>
          <w:bCs w:val="1"/>
          <w:color w:val="auto"/>
        </w:rPr>
        <w:t xml:space="preserve"> </w:t>
      </w:r>
      <w:r>
        <w:rPr>
          <w:rFonts w:ascii="Arial" w:cs="Arial" w:eastAsia="Arial" w:hAnsi="Arial"/>
          <w:sz w:val="14"/>
          <w:szCs w:val="14"/>
          <w:color w:val="auto"/>
        </w:rPr>
        <w:t>network management and synchronization systems for different industries, utilities and telecommunications providers in Europe, Africa, the Middle East and Asia.</w:t>
      </w:r>
    </w:p>
    <w:p>
      <w:pPr>
        <w:spacing w:after="0" w:line="137" w:lineRule="exact"/>
        <w:rPr>
          <w:rFonts w:ascii="Arial" w:cs="Arial" w:eastAsia="Arial" w:hAnsi="Arial"/>
          <w:sz w:val="14"/>
          <w:szCs w:val="14"/>
          <w:color w:val="auto"/>
        </w:rPr>
      </w:pPr>
    </w:p>
    <w:p>
      <w:pPr>
        <w:jc w:val="both"/>
        <w:ind w:left="409" w:right="20" w:hanging="409"/>
        <w:spacing w:after="0" w:line="262" w:lineRule="auto"/>
        <w:tabs>
          <w:tab w:leader="none" w:pos="409" w:val="left"/>
        </w:tabs>
        <w:numPr>
          <w:ilvl w:val="0"/>
          <w:numId w:val="4"/>
        </w:numPr>
        <w:rPr>
          <w:rFonts w:ascii="Arial" w:cs="Arial" w:eastAsia="Arial" w:hAnsi="Arial"/>
          <w:sz w:val="15"/>
          <w:szCs w:val="15"/>
          <w:color w:val="auto"/>
        </w:rPr>
      </w:pPr>
      <w:r>
        <w:rPr>
          <w:rFonts w:ascii="Arial" w:cs="Arial" w:eastAsia="Arial" w:hAnsi="Arial"/>
          <w:sz w:val="15"/>
          <w:szCs w:val="15"/>
          <w:b w:val="1"/>
          <w:bCs w:val="1"/>
          <w:u w:val="single" w:color="auto"/>
          <w:color w:val="auto"/>
        </w:rPr>
        <w:t>FEI-Zyfer</w:t>
      </w:r>
      <w:r>
        <w:rPr>
          <w:rFonts w:ascii="Arial" w:cs="Arial" w:eastAsia="Arial" w:hAnsi="Arial"/>
          <w:sz w:val="15"/>
          <w:szCs w:val="15"/>
          <w:b w:val="1"/>
          <w:bCs w:val="1"/>
          <w:color w:val="auto"/>
        </w:rPr>
        <w:t xml:space="preserve"> </w:t>
      </w:r>
      <w:r>
        <w:rPr>
          <w:rFonts w:ascii="Arial" w:cs="Arial" w:eastAsia="Arial" w:hAnsi="Arial"/>
          <w:sz w:val="15"/>
          <w:szCs w:val="15"/>
          <w:color w:val="auto"/>
        </w:rPr>
        <w:t>- Precision time and frequency products that incorporate global positioning systems (“GPS”) technology are manufactured by the Company’s subsidiary FEI-Zyfer, Inc.</w:t>
      </w:r>
      <w:r>
        <w:rPr>
          <w:rFonts w:ascii="Arial" w:cs="Arial" w:eastAsia="Arial" w:hAnsi="Arial"/>
          <w:sz w:val="15"/>
          <w:szCs w:val="15"/>
          <w:b w:val="1"/>
          <w:bCs w:val="1"/>
          <w:color w:val="auto"/>
        </w:rPr>
        <w:t xml:space="preserve"> </w:t>
      </w:r>
      <w:r>
        <w:rPr>
          <w:rFonts w:ascii="Arial" w:cs="Arial" w:eastAsia="Arial" w:hAnsi="Arial"/>
          <w:sz w:val="15"/>
          <w:szCs w:val="15"/>
          <w:color w:val="auto"/>
        </w:rPr>
        <w:t>(“FEI-Zyfer”), which was acquired in fiscal year 2004. FEI-Zyfer’s GPS capability complements the Company’s existing technologies and permits the combined entities to provide a broader range of embedded systems for a variety of timing functions and anti-spoofing (“SAASM”) applications. FEI-Zyfer also provides sales and support in the U.S. for the Company’s wireline telecommunications family of products.</w:t>
      </w:r>
    </w:p>
    <w:p>
      <w:pPr>
        <w:spacing w:after="0" w:line="181" w:lineRule="exact"/>
        <w:rPr>
          <w:rFonts w:ascii="Arial" w:cs="Arial" w:eastAsia="Arial" w:hAnsi="Arial"/>
          <w:sz w:val="15"/>
          <w:szCs w:val="15"/>
          <w:color w:val="auto"/>
        </w:rPr>
      </w:pPr>
    </w:p>
    <w:p>
      <w:pPr>
        <w:ind w:left="409"/>
        <w:spacing w:after="0"/>
        <w:rPr>
          <w:rFonts w:ascii="Arial" w:cs="Arial" w:eastAsia="Arial" w:hAnsi="Arial"/>
          <w:sz w:val="15"/>
          <w:szCs w:val="15"/>
          <w:color w:val="auto"/>
        </w:rPr>
      </w:pPr>
      <w:r>
        <w:rPr>
          <w:rFonts w:ascii="Arial" w:cs="Arial" w:eastAsia="Arial" w:hAnsi="Arial"/>
          <w:sz w:val="15"/>
          <w:szCs w:val="15"/>
          <w:color w:val="auto"/>
        </w:rPr>
        <w:t>For additional information about these reportable segments, see “Item 1. Business – Reportable Segments and Products.”</w:t>
      </w:r>
    </w:p>
    <w:p>
      <w:pPr>
        <w:spacing w:after="0" w:line="213" w:lineRule="exact"/>
        <w:rPr>
          <w:sz w:val="20"/>
          <w:szCs w:val="20"/>
          <w:color w:val="auto"/>
        </w:rPr>
      </w:pPr>
    </w:p>
    <w:p>
      <w:pPr>
        <w:jc w:val="both"/>
        <w:ind w:left="9" w:right="20" w:firstLine="408"/>
        <w:spacing w:after="0" w:line="261" w:lineRule="auto"/>
        <w:rPr>
          <w:sz w:val="20"/>
          <w:szCs w:val="20"/>
          <w:color w:val="auto"/>
        </w:rPr>
      </w:pPr>
      <w:r>
        <w:rPr>
          <w:rFonts w:ascii="Arial" w:cs="Arial" w:eastAsia="Arial" w:hAnsi="Arial"/>
          <w:sz w:val="15"/>
          <w:szCs w:val="15"/>
          <w:color w:val="auto"/>
        </w:rPr>
        <w:t>In addition to its subsidiaries, the Company made a strategic investment in Morion, Inc. (“Morion”), a Russian crystal oscillator manufacturer located in St. Petersburg, Russia. The Company’s ownership of 4.6% of the outstanding shares of Morion’s common stock permits the Company to secure a cost-effective source for high precision quartz resonators and crystal oscillators. The Morion investment is accounted for under the cost method. For more information regarding the Company’s investment in Morion, see Note 10 to Consolidated Financial Statements</w:t>
      </w:r>
    </w:p>
    <w:p>
      <w:pPr>
        <w:spacing w:after="0" w:line="180"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FISCAL YEAR 2014 SIGNIFICANT EVENT</w:t>
      </w:r>
    </w:p>
    <w:p>
      <w:pPr>
        <w:spacing w:after="0" w:line="209" w:lineRule="exact"/>
        <w:rPr>
          <w:sz w:val="20"/>
          <w:szCs w:val="20"/>
          <w:color w:val="auto"/>
        </w:rPr>
      </w:pPr>
    </w:p>
    <w:p>
      <w:pPr>
        <w:ind w:left="409"/>
        <w:spacing w:after="0"/>
        <w:rPr>
          <w:sz w:val="20"/>
          <w:szCs w:val="20"/>
          <w:color w:val="auto"/>
        </w:rPr>
      </w:pPr>
      <w:r>
        <w:rPr>
          <w:rFonts w:ascii="Arial" w:cs="Arial" w:eastAsia="Arial" w:hAnsi="Arial"/>
          <w:sz w:val="15"/>
          <w:szCs w:val="15"/>
          <w:b w:val="1"/>
          <w:bCs w:val="1"/>
          <w:color w:val="auto"/>
        </w:rPr>
        <w:t>Revolving Credit Agreement.</w:t>
      </w:r>
    </w:p>
    <w:p>
      <w:pPr>
        <w:spacing w:after="0" w:line="217" w:lineRule="exact"/>
        <w:rPr>
          <w:sz w:val="20"/>
          <w:szCs w:val="20"/>
          <w:color w:val="auto"/>
        </w:rPr>
      </w:pPr>
    </w:p>
    <w:p>
      <w:pPr>
        <w:jc w:val="both"/>
        <w:ind w:left="9" w:right="20" w:firstLine="408"/>
        <w:spacing w:after="0" w:line="257" w:lineRule="auto"/>
        <w:rPr>
          <w:sz w:val="20"/>
          <w:szCs w:val="20"/>
          <w:color w:val="auto"/>
        </w:rPr>
      </w:pPr>
      <w:r>
        <w:rPr>
          <w:rFonts w:ascii="Arial" w:cs="Arial" w:eastAsia="Arial" w:hAnsi="Arial"/>
          <w:sz w:val="15"/>
          <w:szCs w:val="15"/>
          <w:color w:val="auto"/>
        </w:rPr>
        <w:t>On June 6, 2013, the Company obtained a five-year revolving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During fiscal year 2014, the Company borrowed an additional $2.9 million primarily to fund the acquisition of manufacturing equipment to meet increased production requirements. Additional proceeds from the Facility may be used for working capital and to finance acquisitions. For a full description of the Facility, see Note 7 to the Consolidated Financial Statements.</w:t>
      </w:r>
    </w:p>
    <w:p>
      <w:pPr>
        <w:spacing w:after="0" w:line="185"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REPORTABLE SEGMENTS AND PRODUCTS</w:t>
      </w:r>
    </w:p>
    <w:p>
      <w:pPr>
        <w:spacing w:after="0" w:line="213" w:lineRule="exact"/>
        <w:rPr>
          <w:sz w:val="20"/>
          <w:szCs w:val="20"/>
          <w:color w:val="auto"/>
        </w:rPr>
      </w:pPr>
    </w:p>
    <w:p>
      <w:pPr>
        <w:jc w:val="both"/>
        <w:ind w:left="9" w:firstLine="408"/>
        <w:spacing w:after="0" w:line="254" w:lineRule="auto"/>
        <w:rPr>
          <w:sz w:val="20"/>
          <w:szCs w:val="20"/>
          <w:color w:val="auto"/>
        </w:rPr>
      </w:pPr>
      <w:r>
        <w:rPr>
          <w:rFonts w:ascii="Arial" w:cs="Arial" w:eastAsia="Arial" w:hAnsi="Arial"/>
          <w:sz w:val="15"/>
          <w:szCs w:val="15"/>
          <w:color w:val="auto"/>
        </w:rPr>
        <w:t>The Company operates under three reportable segments, primarily aligned with the geographical locations of its subsidiaries: (1) FEI-NY, (2) Gillam-FEI; and (3) FEI-Zyfer. Within each segment the Company designs, develops, manufactures and markets precision time and frequency control products for different markets as described below. The Company’s Chief Executive Officer measures segment performance based on total revenues and profits generated by each geographic center rather than on the specific types of customers or end-users. Consequently, the Company determined that the segments indicated above appropriately reflect the way the Company’s management views the business. The FEI-NY segment, which operates out of the Company’s Long Island, New York headquarters facility also includes the operations of the Company’s wholly-owned subsidiaries, FEI-Asia and FEI-Elcom. FEI-Asia functions as a manufacturing facility for FEI-NY and other segments with minimal sales to outside customers. FEI-Elcom, in addition to its own product line, provides design and technical support for the FEI-NY segment’s satellite business. The products manufactured by the FEI-NY segment are principally marketed to the commercial and U.S. Government satellite markets, to other U.S. Department of Defense (“DOD”) programs and to wireless communications networks. The Gillam-FEI segment operates out of Belgium and France and designs, develops and manufactures products for network synchronization and monitoring. Its products are currently sold primarily to non-U.S. customers. The primary business of the FEI-Zyfer segment, which operates out of California, is the design and manufacture of products which incorporate GPS technologies. FEI-Zyfer sells its products to both commercial and U.S. Government customers, collaborates with other FEI segments on joint product development activities and provides sales and support for network synchronization products.</w:t>
      </w:r>
    </w:p>
    <w:p>
      <w:pPr>
        <w:spacing w:after="0" w:line="317"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9"/>
          </w:cols>
          <w:pgMar w:left="231" w:top="124" w:right="199" w:bottom="1440" w:gutter="0" w:footer="0" w:header="0"/>
        </w:sectPr>
      </w:pPr>
    </w:p>
    <w:bookmarkStart w:id="4" w:name="page5"/>
    <w:bookmarkEnd w:id="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During fiscal years 2014 and 2013, approximately 78% and 76%, respectively, of the Company’s consolidated revenues were from products sold by the FEI-NY segment. Sales by Gillam-FEI were approximately 14% and 17% of consolidated revenues for fiscal years 2014 and 2013, respectively. In fiscal years 2014 and 2013, sales for the FEI-Zyfer segment were 11% and 15% of consolidated revenues, respectively. (The sum of annual sales percentages exceeds 100% due to intersegment sales.)</w:t>
      </w:r>
    </w:p>
    <w:p>
      <w:pPr>
        <w:spacing w:after="0" w:line="17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Consolidated revenues include sales to end-users in countries located outside of the U.S. During both fiscal years 2014 and 2013, foreign sales comprised 26% of consolidated revenues. For segment information, see Note 14 to the Consolidated Financial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FEI-NY </w:t>
      </w:r>
      <w:r>
        <w:rPr>
          <w:rFonts w:ascii="Arial" w:cs="Arial" w:eastAsia="Arial" w:hAnsi="Arial"/>
          <w:sz w:val="10"/>
          <w:szCs w:val="10"/>
          <w:b w:val="1"/>
          <w:bCs w:val="1"/>
          <w:color w:val="auto"/>
        </w:rPr>
        <w:t>SEGMENT</w:t>
      </w:r>
      <w:r>
        <w:rPr>
          <w:rFonts w:ascii="Arial" w:cs="Arial" w:eastAsia="Arial" w:hAnsi="Arial"/>
          <w:sz w:val="15"/>
          <w:szCs w:val="15"/>
          <w:b w:val="1"/>
          <w:bCs w:val="1"/>
          <w:color w:val="auto"/>
        </w:rPr>
        <w:t>:</w:t>
      </w:r>
    </w:p>
    <w:p>
      <w:pPr>
        <w:spacing w:after="0" w:line="217"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The Company provides precision time, frequency generation and synchronization products and subsystems that are found on-board satellites, in ground-based communication stations, and imbedded in moving platforms operated by the U.S. military. The Company has made a substantial investment in research and development to apply its core technologies to satellite payloads, non-space DOD programs and network infrastructure markets. Revenues from satellite payloads, both for commercial and U.S. Government applications have increased in recent years while the portion of network infrastructure sales was reduced. The Company expects to continue to generate substantial revenues from deployment of new and replacement satellites and other U.S. Government/DOD applications including sales of ruggedized subsystems for moving platforms of the U.S. military.</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Satellite Payloads</w:t>
      </w:r>
    </w:p>
    <w:p>
      <w:pPr>
        <w:spacing w:after="0" w:line="217" w:lineRule="exact"/>
        <w:rPr>
          <w:sz w:val="20"/>
          <w:szCs w:val="20"/>
          <w:color w:val="auto"/>
        </w:rPr>
      </w:pPr>
    </w:p>
    <w:p>
      <w:pPr>
        <w:jc w:val="both"/>
        <w:ind w:firstLine="408"/>
        <w:spacing w:after="0" w:line="300" w:lineRule="auto"/>
        <w:rPr>
          <w:sz w:val="20"/>
          <w:szCs w:val="20"/>
          <w:color w:val="auto"/>
        </w:rPr>
      </w:pPr>
      <w:r>
        <w:rPr>
          <w:rFonts w:ascii="Arial" w:cs="Arial" w:eastAsia="Arial" w:hAnsi="Arial"/>
          <w:sz w:val="13"/>
          <w:szCs w:val="13"/>
          <w:color w:val="auto"/>
        </w:rPr>
        <w:t>The use of satellites launched for communications, navigation, weather forecasting, video and data transmissions and Internet access has expanded the need to transmit increasing amounts of voice, video, and data to earth-based receivers. This requires more precise timing and frequency control at the satellite. The Company manufactures the master timing systems (quartz, rubidium and cesium) and other significant timing and frequency generation products for communication satellites, and many of the Company’s other space assemblies are used onboard spacecraft for command, control and power distribution. Efficient and reliable DC-DC power converters are also manufactured for the Company’s own assemblies and as stand-alone products for space applications. The Company’s oven-controlled quartz crystal oscillators are cost-effective precision clocks suited for high-end performance required in satellite transmissions, airborne telephony and geophysical survey positioning systems. Newly developed and upgraded frequency generators, synthesizers, and up/down converters and receivers have augmented the Company’s product offerings and positioned the Company to provide a greater share of a typical satellite’s payload. Commercial satellite programs which utilize the Company’s space-qualified products include Iridium NEXT, MexSat, MSV, ICO, TerreStar, EchoStar, Intelsat, Inmarsat and numerous others.</w:t>
      </w:r>
    </w:p>
    <w:p>
      <w:pPr>
        <w:spacing w:after="0" w:line="161"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In the years ahead, the Company expects that the U.S. DOD will require more secure communication capabilities, more assets in space and greater bandwidth. The Global Positioning Satellite System, the MILSTAR Satellite System and the AEHF Satellite System are examples of the programs in which the Company participates - programs which management believes are important to the success of the U.S. Government’s security, communication and intelligence needs. The Company has manufactured the master clock for the Trident missile, the basic timing system for the Voyager I and Voyager II deep space exploratory missions and the quartz timing system for the Space Shuttle. The Company’s product offerings for U.S. Government satellite programs are similar in design and function to those used on commercial satellites, as described above.</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U.S. Government- Non-space:</w:t>
      </w:r>
    </w:p>
    <w:p>
      <w:pPr>
        <w:spacing w:after="0" w:line="217" w:lineRule="exact"/>
        <w:rPr>
          <w:sz w:val="20"/>
          <w:szCs w:val="20"/>
          <w:color w:val="auto"/>
        </w:rPr>
      </w:pPr>
    </w:p>
    <w:p>
      <w:pPr>
        <w:jc w:val="both"/>
        <w:ind w:firstLine="544"/>
        <w:spacing w:after="0" w:line="285" w:lineRule="auto"/>
        <w:rPr>
          <w:sz w:val="20"/>
          <w:szCs w:val="20"/>
          <w:color w:val="auto"/>
        </w:rPr>
      </w:pPr>
      <w:r>
        <w:rPr>
          <w:rFonts w:ascii="Arial" w:cs="Arial" w:eastAsia="Arial" w:hAnsi="Arial"/>
          <w:sz w:val="14"/>
          <w:szCs w:val="14"/>
          <w:color w:val="auto"/>
        </w:rPr>
        <w:t>In addition to space-based programs, the Company’s proprietary products have been used in airborne and ground-based guidance, navigation, communications, radar, sonar surveillance and electronic countermeasure and timing systems. The Company has developed and patented a low g-sensitivity (gravity) technology which offers a 100-fold improvement in performance under shock, vibration and other environmental effects. Products are built in accordance with DOD standards and are in use on many of the U.S. Government’s important military applications. The Company anticipates that adequate funds will be provided by the U.S. Government to ensure that these programs are sustained.</w:t>
      </w:r>
    </w:p>
    <w:p>
      <w:pPr>
        <w:spacing w:after="0" w:line="166"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FEI-Elcom designs and manufactures RF microwave devices and subsystems up to 46 GHz including fast switching, ultra low phase noise synthesizers, up-down converters, receivers, ceramic resonant oscillators and dielectric resonant oscillators. These instruments and components are important for communication, surveillance, signal intelligence, automatic testing, satellite ground stations and satellite payloads.</w:t>
      </w:r>
    </w:p>
    <w:p>
      <w:pPr>
        <w:spacing w:after="0" w:line="177"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Company’s sales on U.S. Government programs for both space and non-space applications are generally made under fixed price contracts either directly with U.S. Government agencies or indirectly through subcontracts intended for government end-use. The price paid to the Company is not subject to adjustment by reason of the costs incurred by the Company in the performance of the contract, except for costs incurred due to contract changes ordered by the customer. These contracts are negotiated on terms under which the Company bears the risk of cost overruns and derives the benefit from cost savings.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 w:name="page6"/>
    <w:bookmarkEnd w:id="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right="20" w:firstLine="408"/>
        <w:spacing w:after="0" w:line="279" w:lineRule="auto"/>
        <w:rPr>
          <w:sz w:val="20"/>
          <w:szCs w:val="20"/>
          <w:color w:val="auto"/>
        </w:rPr>
      </w:pPr>
      <w:r>
        <w:rPr>
          <w:rFonts w:ascii="Arial" w:cs="Arial" w:eastAsia="Arial" w:hAnsi="Arial"/>
          <w:sz w:val="14"/>
          <w:szCs w:val="14"/>
          <w:color w:val="auto"/>
        </w:rPr>
        <w:t>In March 2013, the Budget Control Act of 2011 went into effect to reduce the federal deficit by a process known as sequestration. As a result, subsequent annual budgets proposed by the federal administration and Congress may include lower spending for U.S. military programs. As indicated above, many of the programs and platforms for which the Company supplies products and systems, are used by the U.S. Government for maintaining secure communications world-wide, for obtaining vital intelligence and for enabling precision targeting capabilities. It is the belief of management that the future success of the mission of the U.S. military and intelligence gathering community is dependent on successful and timely deployment of these systems. Thus, the Company anticipates that adequate funds will be provided by the U.S. Government to ensure that the programs are completed. It is possible, however, that some programs or product sales could be slowed or delayed due to U.S. Government spending constraints.</w:t>
      </w:r>
    </w:p>
    <w:p>
      <w:pPr>
        <w:spacing w:after="0" w:line="170"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Recently the Company has also received several cost-plus-fee contracts. Under these contracts, the Company may be able to recover all of its direct and indirect costs related to the programs plus a pre-determined fee. In the event of substantial cost overruns, the fee may be reduced.</w:t>
      </w:r>
    </w:p>
    <w:p>
      <w:pPr>
        <w:spacing w:after="0" w:line="169"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Negotiations on U.S. Government contracts are sometimes based in part on Certificates of Current Costs. An inaccuracy in such certificates may entitle the government to an appropriate recovery. From time to time, the Defense Contracts Audit Agency ("DCAA") audits the Company's accounts with respect to these contracts.</w:t>
      </w:r>
    </w:p>
    <w:p>
      <w:pPr>
        <w:spacing w:after="0" w:line="169"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All U.S. Government end-use contracts are subject to termination by the purchaser for the convenience of the U.S. Government and are subject to various other provisions for the protection of the U.S. Government. In the event of such termination, the Company is entitled to receive compensation as provided under such contracts and in the applicable U.S. Government regulations.</w:t>
      </w:r>
    </w:p>
    <w:p>
      <w:pPr>
        <w:spacing w:after="0" w:line="173" w:lineRule="exact"/>
        <w:rPr>
          <w:sz w:val="20"/>
          <w:szCs w:val="20"/>
          <w:color w:val="auto"/>
        </w:rPr>
      </w:pPr>
    </w:p>
    <w:p>
      <w:pPr>
        <w:ind w:left="400"/>
        <w:spacing w:after="0"/>
        <w:rPr>
          <w:sz w:val="20"/>
          <w:szCs w:val="20"/>
          <w:color w:val="auto"/>
        </w:rPr>
      </w:pPr>
      <w:r>
        <w:rPr>
          <w:rFonts w:ascii="Arial" w:cs="Arial" w:eastAsia="Arial" w:hAnsi="Arial"/>
          <w:sz w:val="15"/>
          <w:szCs w:val="15"/>
          <w:b w:val="1"/>
          <w:bCs w:val="1"/>
          <w:color w:val="auto"/>
        </w:rPr>
        <w:t>Network Infrastructure</w:t>
      </w:r>
    </w:p>
    <w:p>
      <w:pPr>
        <w:spacing w:after="0" w:line="217"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The development of new and enhanced technologies brings expanded and more reliable telecommunications and Internet services to the public. As digital cellular systems and Personal Communication Systems (“PCS”) networks grow they require more base stations to meet the demand for better connectivity, higher data rates and dependable high quality for cell phone service. Cellular infrastructure integrators and original equipment manufacturers, consisting of some of the world’s largest telecommunications companies, are building out existing networks even as they develop new technologies for future systems.</w:t>
      </w:r>
    </w:p>
    <w:p>
      <w:pPr>
        <w:spacing w:after="0" w:line="180"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In conjunction with its European subsidiary, Gillam-FEI, the Company has developed state-of-the-art network synchronization equipment. These products are intended to provide synchronization and timing references for communication and enterprise networks within the U.S. and overseas.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w:t>
      </w:r>
      <w:r>
        <w:rPr>
          <w:rFonts w:ascii="Arial" w:cs="Arial" w:eastAsia="Arial" w:hAnsi="Arial"/>
          <w:sz w:val="10"/>
          <w:szCs w:val="10"/>
          <w:b w:val="1"/>
          <w:bCs w:val="1"/>
          <w:color w:val="auto"/>
        </w:rPr>
        <w:t>ILLAM</w:t>
      </w:r>
      <w:r>
        <w:rPr>
          <w:rFonts w:ascii="Arial" w:cs="Arial" w:eastAsia="Arial" w:hAnsi="Arial"/>
          <w:sz w:val="15"/>
          <w:szCs w:val="15"/>
          <w:b w:val="1"/>
          <w:bCs w:val="1"/>
          <w:color w:val="auto"/>
        </w:rPr>
        <w:t xml:space="preserve">-FEI </w:t>
      </w:r>
      <w:r>
        <w:rPr>
          <w:rFonts w:ascii="Arial" w:cs="Arial" w:eastAsia="Arial" w:hAnsi="Arial"/>
          <w:sz w:val="10"/>
          <w:szCs w:val="10"/>
          <w:b w:val="1"/>
          <w:bCs w:val="1"/>
          <w:color w:val="auto"/>
        </w:rPr>
        <w:t>SEGMENT</w:t>
      </w:r>
      <w:r>
        <w:rPr>
          <w:rFonts w:ascii="Arial" w:cs="Arial" w:eastAsia="Arial" w:hAnsi="Arial"/>
          <w:sz w:val="15"/>
          <w:szCs w:val="15"/>
          <w:b w:val="1"/>
          <w:bCs w:val="1"/>
          <w:color w:val="auto"/>
        </w:rPr>
        <w:t>:</w:t>
      </w:r>
    </w:p>
    <w:p>
      <w:pPr>
        <w:spacing w:after="0" w:line="21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4"/>
          <w:szCs w:val="14"/>
          <w:color w:val="auto"/>
        </w:rPr>
        <w:t>Gillam-FEI extends the Company’s competencies into network synchronization, network management, and specialized test equipment. With the advent of new digital broadband transmission technologies, reliable synchronization remains the warranty to quality of service for telecommunications operators. Gillam-FEI is among the world leaders in the field of wireline synchronization technology and its products are targeted towards telecommunication operators and network equipment manufacturers that utilize modular and flexible platforms to build reliable digital-network-systems worldwide. Telecommunications operators such as Belgacom, France Telecom, Telefonica and other service providers are among Gillam-FEI’s major customers. Gillam-FEI also provides ancillary products intended for deployment in the European, Middle Eastern, Asian and African markets. Included in its family of products is a remote terminal unit (“GRTU”) that Gillam-FEI developed in concert with a major French electric utility company. The GRTU is intended to monitor the electrical current in a power grid and relay the information to a central location. Gillam-FEI intends to market this product to other electric utility companies in projects to create “smart” grids.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FEI-Z</w:t>
      </w:r>
      <w:r>
        <w:rPr>
          <w:rFonts w:ascii="Arial" w:cs="Arial" w:eastAsia="Arial" w:hAnsi="Arial"/>
          <w:sz w:val="10"/>
          <w:szCs w:val="10"/>
          <w:b w:val="1"/>
          <w:bCs w:val="1"/>
          <w:color w:val="auto"/>
        </w:rPr>
        <w:t>YFER SEGMENT</w:t>
      </w:r>
      <w:r>
        <w:rPr>
          <w:rFonts w:ascii="Arial" w:cs="Arial" w:eastAsia="Arial" w:hAnsi="Arial"/>
          <w:sz w:val="15"/>
          <w:szCs w:val="15"/>
          <w:b w:val="1"/>
          <w:bCs w:val="1"/>
          <w:color w:val="auto"/>
        </w:rPr>
        <w:t>:</w:t>
      </w:r>
    </w:p>
    <w:p>
      <w:pPr>
        <w:spacing w:after="0" w:line="217" w:lineRule="exact"/>
        <w:rPr>
          <w:sz w:val="20"/>
          <w:szCs w:val="20"/>
          <w:color w:val="auto"/>
        </w:rPr>
      </w:pPr>
    </w:p>
    <w:p>
      <w:pPr>
        <w:jc w:val="both"/>
        <w:ind w:right="20" w:firstLine="408"/>
        <w:spacing w:after="0" w:line="258" w:lineRule="auto"/>
        <w:rPr>
          <w:sz w:val="20"/>
          <w:szCs w:val="20"/>
          <w:color w:val="auto"/>
        </w:rPr>
      </w:pPr>
      <w:r>
        <w:rPr>
          <w:rFonts w:ascii="Arial" w:cs="Arial" w:eastAsia="Arial" w:hAnsi="Arial"/>
          <w:sz w:val="15"/>
          <w:szCs w:val="15"/>
          <w:color w:val="auto"/>
        </w:rPr>
        <w:t>FEI-Zyfer designs, develops and manufactures products for precision time and frequency generation and synchronization, primarily incorporating GPS technology. FEI-Zyfer’s products make use of both “in-the-clear” civil and “crypto-secured” military signals from GPS. In most cases, FEI-Zyfer’s products are integrated into communications systems, computer networks, test equipment, and military command and control terminals for ground and satellite link applications. More than 60% of revenues are derived from sales where the end user is the U.S. Government. FEI-Zyfer’s products are an important extension of FEI’s core product line, specifically in the area of GPS capabilities. In addition, FEI-Zyfer provides sales and support for the Company’s family of wireline telecommunications and derivative products.</w:t>
      </w:r>
    </w:p>
    <w:p>
      <w:pPr>
        <w:spacing w:after="0" w:line="30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6" w:name="page7"/>
    <w:bookmarkEnd w:id="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BACKLOG</w:t>
      </w:r>
    </w:p>
    <w:p>
      <w:pPr>
        <w:spacing w:after="0" w:line="213"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4"/>
          <w:szCs w:val="14"/>
          <w:color w:val="auto"/>
        </w:rPr>
        <w:t>As of April 30, 2014, the Company's consolidated backlog amounted to approximately $48 million compared to approximately $51 million at the end of the prior fiscal year. Approximately 70% of the current backlog is expected to be filled during the Company’s fiscal year ending April 30, 2015. Included in the backlog at April 30, 2014 is approximately $3.5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CUSTOMERS AND SUPPLIERS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3"/>
          <w:szCs w:val="13"/>
          <w:color w:val="auto"/>
        </w:rPr>
        <w:t>The Company markets its products both directly and through approximately 30 independent sales representative organizations located in the U.S., Europe and Asia. Sales to non-U.S.</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end-users, which includes the revenues of its overseas subsidiaries, totaled approximately 26% of net revenues in both fiscal years 2014 and 2013.</w:t>
      </w:r>
    </w:p>
    <w:p>
      <w:pPr>
        <w:spacing w:after="0" w:line="204"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The Company's products are sold to both commercial and governmental customers. For the years ended April 30, 2014 and 2013, approximately 54% and 62%, respectively, of the Company's sales were made under contracts to the U.S. Government or subcontracts for U.S. Government end-use.</w:t>
      </w:r>
    </w:p>
    <w:p>
      <w:pPr>
        <w:spacing w:after="0" w:line="169"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During fiscal years 2014 and 2013, Boeing Corporation (“Boeing”), Northrop Grumman Corporation (“Northrop”), and Thales Alenia Space each accounted for more than 10% of FEI-NY segment revenues. During fiscal year 2014, Boeing and Northrop also accounted for more than 10% of consolidated revenues and, in fiscal year 2013, revenues from each of the three corporations exceeded 10% of consolidated revenues.</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During fiscal years 2014 and 2013, Belgacom was a major customer of the Gillam-FEI segment, accounting for more than 10% of that segment’s revenues in each year.</w:t>
      </w:r>
    </w:p>
    <w:p>
      <w:pPr>
        <w:spacing w:after="0" w:line="225"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During fiscal year 2014, L-3 Communications was a major customer of the FEI-Zyfer segment accounting for more than 10% of the segment’s revenues. During fiscal year 2013, AT&amp;T Inc. and Raytheon Corporation each accounted for more than 10% of FEI-Zyfer’s revenues.</w:t>
      </w:r>
    </w:p>
    <w:p>
      <w:pPr>
        <w:spacing w:after="0" w:line="169" w:lineRule="exact"/>
        <w:rPr>
          <w:sz w:val="20"/>
          <w:szCs w:val="20"/>
          <w:color w:val="auto"/>
        </w:rPr>
      </w:pPr>
    </w:p>
    <w:p>
      <w:pPr>
        <w:jc w:val="both"/>
        <w:ind w:right="20" w:firstLine="408"/>
        <w:spacing w:after="0" w:line="314" w:lineRule="auto"/>
        <w:rPr>
          <w:sz w:val="20"/>
          <w:szCs w:val="20"/>
          <w:color w:val="auto"/>
        </w:rPr>
      </w:pPr>
      <w:r>
        <w:rPr>
          <w:rFonts w:ascii="Arial" w:cs="Arial" w:eastAsia="Arial" w:hAnsi="Arial"/>
          <w:sz w:val="14"/>
          <w:szCs w:val="14"/>
          <w:color w:val="auto"/>
        </w:rPr>
        <w:t>The loss by the Company of any one of these customers could have a material adverse effect on the Company’s business. The Company believes its relationship with these companies to be mutually satisfactory and is not aware of any prospect for the cancellation or significant reduction of any of its commercial or existing U.S. Government contracts.</w:t>
      </w:r>
    </w:p>
    <w:p>
      <w:pPr>
        <w:spacing w:after="0" w:line="146"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The Company purchases a variety of components such as transistors, resistors, capacitors, connectors and diodes for use in the manufacture of its products. The Company is not dependent upon any one supplier or source of supply for any of its component part purchases and maintains alternative sources of supply for all of its purchased components. The Company has found its suppliers generally to be reliable and price-competitive.</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RESEARCH AND DEVELOPMENT</w:t>
      </w:r>
    </w:p>
    <w:p>
      <w:pPr>
        <w:spacing w:after="0" w:line="213"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The Company's technological leadership continues to be an important factor to support future growth in revenues and earnings. The Company has focused its internal research and development efforts on improving the core physics and electronic packages in its time and frequency products, conducting research to develop new time and frequency technologies, improving product manufacturability by seeking to reduce its production costs through product redesign and process improvements and other measures to take advantage of lower cost components.</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7" w:name="page8"/>
    <w:bookmarkEnd w:id="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5"/>
          <w:szCs w:val="15"/>
          <w:color w:val="auto"/>
        </w:rPr>
        <w:t>The Company continues to focus a significant portion of its own resources and efforts on developing hardware for satellite (commercial and U.S. Government) and terrestrial commercial communications systems, including wireless, wireline and GPS-related systems. During fiscal years 2014 and 2013, the Company expended $5.8 million and $5.7 million of its own funds, respectively, on such research and development activity. See “Item 7. Management’s Discussion and Analysis of Financial Condition and Results of Operations.” During fiscal years 2014 and 2013, some of the Company’s development resources were applied to certain cost-plus-fee contracts and the design-stage of fixed-price satellite payload programs. As a result, a portion of the Company’s development efforts were customer-funded and the costs appear in cost of revenues resulting in reduced internal research and development spending. For fiscal year 2015, the Company is targeting to spend between $5.0 million and $6.0 million on internal research and development projects. The actual amount spent in fiscal year 2015 will depend on market conditions and identification of new opportunities.</w:t>
      </w:r>
    </w:p>
    <w:p>
      <w:pPr>
        <w:spacing w:after="0" w:line="18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PATENTS AND LICENSES</w:t>
      </w:r>
    </w:p>
    <w:p>
      <w:pPr>
        <w:spacing w:after="0" w:line="213" w:lineRule="exact"/>
        <w:rPr>
          <w:sz w:val="20"/>
          <w:szCs w:val="20"/>
          <w:color w:val="auto"/>
        </w:rPr>
      </w:pPr>
    </w:p>
    <w:p>
      <w:pPr>
        <w:jc w:val="both"/>
        <w:ind w:firstLine="408"/>
        <w:spacing w:after="0" w:line="279" w:lineRule="auto"/>
        <w:rPr>
          <w:sz w:val="20"/>
          <w:szCs w:val="20"/>
          <w:color w:val="auto"/>
        </w:rPr>
      </w:pPr>
      <w:r>
        <w:rPr>
          <w:rFonts w:ascii="Arial" w:cs="Arial" w:eastAsia="Arial" w:hAnsi="Arial"/>
          <w:sz w:val="14"/>
          <w:szCs w:val="14"/>
          <w:color w:val="auto"/>
        </w:rPr>
        <w:t>The Company believes that its business is generally not dependent on patent or license protection. Rather, it is primarily dependent upon the Company's technical competence, the quality of its products and its prompt and responsible contract performance. However, employees working for the Company assign all rights to inventions to the Company and the Company presently holds such patents and licenses. In certain limited circumstances, the U.S. Government may use or permit the use by the Company’s competitors of certain patents or licenses the government has funded. During fiscal year 2003, the Company received a broad and significant patent for new, proprietary quartz oscillator technology which the Company intends to exploit in both legacy and new applications. In 2006, the Company obtained a basic patent for its low g-sensitivity technology which management believes will permit greatly enhanced performance of devices on moving platforms and under externally imposed shock or vibration.</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COMPETITION</w:t>
      </w:r>
    </w:p>
    <w:p>
      <w:pPr>
        <w:spacing w:after="0" w:line="213" w:lineRule="exact"/>
        <w:rPr>
          <w:sz w:val="20"/>
          <w:szCs w:val="20"/>
          <w:color w:val="auto"/>
        </w:rPr>
      </w:pPr>
    </w:p>
    <w:p>
      <w:pPr>
        <w:jc w:val="both"/>
        <w:ind w:firstLine="408"/>
        <w:spacing w:after="0" w:line="279" w:lineRule="auto"/>
        <w:rPr>
          <w:sz w:val="20"/>
          <w:szCs w:val="20"/>
          <w:color w:val="auto"/>
        </w:rPr>
      </w:pPr>
      <w:r>
        <w:rPr>
          <w:rFonts w:ascii="Arial" w:cs="Arial" w:eastAsia="Arial" w:hAnsi="Arial"/>
          <w:sz w:val="14"/>
          <w:szCs w:val="14"/>
          <w:color w:val="auto"/>
        </w:rPr>
        <w:t>The Company experiences competition in all areas of its business. Many of the Company's competitors are larger, have greater financial resources and have larger research and development and marketing staffs. The Company has a strong history of competing successfully in this environment due to the quality, reliability and outstanding record of performance its products have achieved. The Company competes primarily on the basis of the accuracy, performance and reliability of its products, the ability of its products to function under severe conditions, such as in space or in other extremely hostile environments, and the Company’s track record of prompt and responsive contract performance and technical competence. The Company has a unique and broad product line which includes quartz, rubidium, and cesium based timing references and specialized RF microwave technology. With respect to very high precision products, the Company encounters fewer competitors than it does for lower precision products for which there are a significant number of suppliers.</w:t>
      </w:r>
    </w:p>
    <w:p>
      <w:pPr>
        <w:spacing w:after="0" w:line="170"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The Company’s principal competition for space products is the in-house capability of its major customers such as Boeing, Northrop, Lockheed Martin and Space Systems Loral as well as a number of other firms capable of providing high-reliability microwave frequency generators. With respect to non-space products, instruments and systems for timing and synchronization, the Company competes with large domestic companies such as Agilent Technologies, EG&amp;G, Inc., Microsemi Corporation through its recent acquisition of Symmetricom, Inc., and Vectron, Inc., a division of Dover Corp. The Company also competes against multiple foreign entities including Indian, Korean and other Asian enterprises such as the Chinese company, Huawei. In Europe large competitors include Siemens, Schneider Electric and Oscilloquartz, a division of ADVA Optical Networking SE.</w:t>
      </w:r>
    </w:p>
    <w:p>
      <w:pPr>
        <w:spacing w:after="0" w:line="169"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 has successfully outsourced certain manufacturing processes to third parties and to its wholly-owned subsidiary, FEI-Asia in Tianjin, China and to Russia-based Morion, in which the Company is a minority shareholder. The Company conducts this outsourcing to maintain a competitive position on cost while adhering to its high quality standards. The Company believes its ability to obtain raw materials, manufacture finished products, integrate them into systems and sub-systems and interface these systems with highly sophisticated end-user applications provides a strong competitive edge.</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EMPLOYEES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 employs approximately 430 full-time persons worldwide. None of the U.S., European or Chinese employees is represented by labor unions.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OTHER ASPECTS</w:t>
      </w:r>
    </w:p>
    <w:p>
      <w:pPr>
        <w:spacing w:after="0" w:line="213"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Company's business is not seasonal although it expects to experience some fluctuation in revenues during the second fiscal quarter as a result of summer holiday periods. No unusual working capital requirements exist.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8" w:name="page9"/>
    <w:bookmarkEnd w:id="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EXECUTIVE OFFICERS OF THE COMPANY</w:t>
      </w:r>
    </w:p>
    <w:p>
      <w:pPr>
        <w:spacing w:after="0" w:line="213"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executive officers hold office until the annual meeting of the Board of Directors following the annual meeting of stockholders, subject to earlier removal by the Board of Directors.</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names of all executive officers of the Company and all positions and offices with the Company which they presently hold are as follows:</w:t>
      </w:r>
    </w:p>
    <w:p>
      <w:pPr>
        <w:spacing w:after="0" w:line="213" w:lineRule="exact"/>
        <w:rPr>
          <w:sz w:val="20"/>
          <w:szCs w:val="20"/>
          <w:color w:val="auto"/>
        </w:rPr>
      </w:pPr>
    </w:p>
    <w:tbl>
      <w:tblPr>
        <w:tblLayout w:type="fixed"/>
        <w:tblInd w:w="1620" w:type="dxa"/>
        <w:tblCellMar>
          <w:top w:w="0" w:type="dxa"/>
          <w:left w:w="0" w:type="dxa"/>
          <w:bottom w:w="0" w:type="dxa"/>
          <w:right w:w="0" w:type="dxa"/>
        </w:tblCellMar>
      </w:tblPr>
      <w:tr>
        <w:trPr>
          <w:trHeight w:val="191"/>
        </w:trPr>
        <w:tc>
          <w:tcPr>
            <w:tcW w:w="1500" w:type="dxa"/>
            <w:vAlign w:val="bottom"/>
          </w:tcPr>
          <w:p>
            <w:pPr>
              <w:spacing w:after="0"/>
              <w:rPr>
                <w:sz w:val="20"/>
                <w:szCs w:val="20"/>
                <w:color w:val="auto"/>
              </w:rPr>
            </w:pPr>
            <w:r>
              <w:rPr>
                <w:rFonts w:ascii="Arial" w:cs="Arial" w:eastAsia="Arial" w:hAnsi="Arial"/>
                <w:sz w:val="15"/>
                <w:szCs w:val="15"/>
                <w:color w:val="auto"/>
              </w:rPr>
              <w:t>Joseph P. Franklin</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Chairman of the Board of Directors</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Martin B. Bloch</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President, Chief Executive Officer and Director</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Markus Hechler</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w w:val="90"/>
              </w:rPr>
              <w:t>Executive Vice President, President of FEI Government Systems, Inc. and Assistant Secretary</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Oleandro Mancini</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Senior Vice President, Business Development</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Steven Strang</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President, FEI-Zyfer</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James Davis</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President, FEI-Elcom Tech</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Leonard Martire</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Vice President, Program Management</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Thomas McClelland</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Vice President, Advanced Development</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Adrian Lalicata</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Vice President, RF &amp; Microwave Systems</w:t>
            </w:r>
          </w:p>
        </w:tc>
      </w:tr>
      <w:tr>
        <w:trPr>
          <w:trHeight w:val="386"/>
        </w:trPr>
        <w:tc>
          <w:tcPr>
            <w:tcW w:w="1500" w:type="dxa"/>
            <w:vAlign w:val="bottom"/>
          </w:tcPr>
          <w:p>
            <w:pPr>
              <w:spacing w:after="0"/>
              <w:rPr>
                <w:sz w:val="20"/>
                <w:szCs w:val="20"/>
                <w:color w:val="auto"/>
              </w:rPr>
            </w:pPr>
            <w:r>
              <w:rPr>
                <w:rFonts w:ascii="Arial" w:cs="Arial" w:eastAsia="Arial" w:hAnsi="Arial"/>
                <w:sz w:val="15"/>
                <w:szCs w:val="15"/>
                <w:color w:val="auto"/>
              </w:rPr>
              <w:t>Alan Miller</w:t>
            </w:r>
          </w:p>
        </w:tc>
        <w:tc>
          <w:tcPr>
            <w:tcW w:w="500" w:type="dxa"/>
            <w:vAlign w:val="bottom"/>
          </w:tcPr>
          <w:p>
            <w:pPr>
              <w:jc w:val="right"/>
              <w:ind w:right="104"/>
              <w:spacing w:after="0"/>
              <w:rPr>
                <w:sz w:val="20"/>
                <w:szCs w:val="20"/>
                <w:color w:val="auto"/>
              </w:rPr>
            </w:pPr>
            <w:r>
              <w:rPr>
                <w:rFonts w:ascii="Arial" w:cs="Arial" w:eastAsia="Arial" w:hAnsi="Arial"/>
                <w:sz w:val="15"/>
                <w:szCs w:val="15"/>
                <w:color w:val="auto"/>
              </w:rPr>
              <w:t>-</w:t>
            </w:r>
          </w:p>
        </w:tc>
        <w:tc>
          <w:tcPr>
            <w:tcW w:w="5860" w:type="dxa"/>
            <w:vAlign w:val="bottom"/>
          </w:tcPr>
          <w:p>
            <w:pPr>
              <w:ind w:left="180"/>
              <w:spacing w:after="0"/>
              <w:rPr>
                <w:sz w:val="20"/>
                <w:szCs w:val="20"/>
                <w:color w:val="auto"/>
              </w:rPr>
            </w:pPr>
            <w:r>
              <w:rPr>
                <w:rFonts w:ascii="Arial" w:cs="Arial" w:eastAsia="Arial" w:hAnsi="Arial"/>
                <w:sz w:val="15"/>
                <w:szCs w:val="15"/>
                <w:color w:val="auto"/>
              </w:rPr>
              <w:t>Secretary/Treasurer and Chief Financial Officer</w:t>
            </w:r>
          </w:p>
        </w:tc>
      </w:tr>
      <w:tr>
        <w:trPr>
          <w:trHeight w:val="386"/>
        </w:trPr>
        <w:tc>
          <w:tcPr>
            <w:tcW w:w="1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60" w:type="dxa"/>
            <w:vAlign w:val="bottom"/>
          </w:tcPr>
          <w:p>
            <w:pPr>
              <w:ind w:left="760"/>
              <w:spacing w:after="0"/>
              <w:rPr>
                <w:sz w:val="20"/>
                <w:szCs w:val="20"/>
                <w:color w:val="auto"/>
              </w:rPr>
            </w:pPr>
            <w:r>
              <w:rPr>
                <w:rFonts w:ascii="Arial" w:cs="Arial" w:eastAsia="Arial" w:hAnsi="Arial"/>
                <w:sz w:val="15"/>
                <w:szCs w:val="15"/>
                <w:color w:val="auto"/>
              </w:rPr>
              <w:t>None of the officers and directors is related.</w:t>
            </w:r>
          </w:p>
        </w:tc>
      </w:tr>
    </w:tbl>
    <w:p>
      <w:pPr>
        <w:spacing w:after="0" w:line="195"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Joseph P. Franklin, age 80, has served as a Director of the Company since March 1990. In December 1993 he was elected Chairman of the Board of Directors. He also served as Chief Executive Officer from December 1993 through October 1998 and as Chief Financial Officer from September 1996 through October 1998. From August 1987 to November 1993, he was the Chief Executive Officer of Franklin S.A., a Spanish business consulting company located in Madrid, Spain, specializing in joint ventures, and was a director of several prominent Spanish companies. General Franklin was a Major General in the U.S. Army until he retired in July 1987.</w:t>
      </w:r>
    </w:p>
    <w:p>
      <w:pPr>
        <w:spacing w:after="0" w:line="180"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Martin B. Bloch, age 78, has been a Director of the Company and of its predecessor since 1961. Mr. Bloch is the Company’s President and Chief Executive Officer and has held such positions since inception of the Company, except for the period from December 1993 through October 1998 when General Franklin held the CEO position. Previous to forming the Company, Mr. Bloch served as chief electronics engineer of the Electronics Division of Bulova Watch Company.</w:t>
      </w:r>
    </w:p>
    <w:p>
      <w:pPr>
        <w:spacing w:after="0" w:line="177" w:lineRule="exact"/>
        <w:rPr>
          <w:sz w:val="20"/>
          <w:szCs w:val="20"/>
          <w:color w:val="auto"/>
        </w:rPr>
      </w:pPr>
    </w:p>
    <w:p>
      <w:pPr>
        <w:jc w:val="both"/>
        <w:ind w:firstLine="408"/>
        <w:spacing w:after="0" w:line="314" w:lineRule="auto"/>
        <w:rPr>
          <w:sz w:val="20"/>
          <w:szCs w:val="20"/>
          <w:color w:val="auto"/>
        </w:rPr>
      </w:pPr>
      <w:r>
        <w:rPr>
          <w:rFonts w:ascii="Arial" w:cs="Arial" w:eastAsia="Arial" w:hAnsi="Arial"/>
          <w:sz w:val="14"/>
          <w:szCs w:val="14"/>
          <w:color w:val="auto"/>
        </w:rPr>
        <w:t>Markus Hechler, age 68, joined the Company in 1967. He was elected to the position of Executive Vice President in February 1999, prior to which he served as Vice President, Manufacturing since 1982. In October 2001, he was named President of the Company’s subsidiary, FEI Government Systems, Inc. He has served as Assistant Secretary since 1978.</w:t>
      </w:r>
    </w:p>
    <w:p>
      <w:pPr>
        <w:spacing w:after="0" w:line="146"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Oleandro Mancini, age 65, joined the Company in August 2000 as Vice President, Business Development and was promoted to Senior Vice President in 2010. Prior to joining the Company, Mr. Mancini served from 1998 as Vice President, Sales and Marketing at Satellite Transmission Systems, Inc. and from 1995 to 1998 as Vice President, Business Development at Cardion, Inc., a Siemens A.G. company. From 1987 to 1995, he held the position of Vice President, Engineering at Cardion, Inc.</w:t>
      </w:r>
    </w:p>
    <w:p>
      <w:pPr>
        <w:spacing w:after="0" w:line="17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Steven Strang, age 50, was named President of FEI-Zyfer, Inc., effective May 1, 2005. Previously, Mr. Strang was Executive Vice President of this subsidiary and its predecessor companies where he has served for 20 years in various technical and management positions.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9" w:name="page10"/>
    <w:bookmarkEnd w:id="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firstLine="408"/>
        <w:spacing w:after="0" w:line="285" w:lineRule="auto"/>
        <w:rPr>
          <w:sz w:val="20"/>
          <w:szCs w:val="20"/>
          <w:color w:val="auto"/>
        </w:rPr>
      </w:pPr>
      <w:r>
        <w:rPr>
          <w:rFonts w:ascii="Arial" w:cs="Arial" w:eastAsia="Arial" w:hAnsi="Arial"/>
          <w:sz w:val="14"/>
          <w:szCs w:val="14"/>
          <w:color w:val="auto"/>
        </w:rPr>
        <w:t>James Davis, age 61, is the President of FEI-Elcom Tech, Inc. which the Company acquired in February 2012. Mr. Davis was named an officer of the Company in October 2013. Mr. Davis became the president of Elcom Technologies, Inc., the pre-acquisition company, on September 20, 2007. Prior to joining FEI-Elcom, Mr. Davis held leadership positions at other technology companies including General Manager of Hewlett Packard’s (Agilent) Semiconductor Systems Center, Vice President and General Manager of Schlumberger Technologies N.A. and Vice President and General Manager of Gretag Macbeth LLC. Mr. Davis also held the rank of Captain as a U.S. Army Special Forces Team Commander.</w:t>
      </w:r>
    </w:p>
    <w:p>
      <w:pPr>
        <w:spacing w:after="0" w:line="166" w:lineRule="exact"/>
        <w:rPr>
          <w:sz w:val="20"/>
          <w:szCs w:val="20"/>
          <w:color w:val="auto"/>
        </w:rPr>
      </w:pPr>
    </w:p>
    <w:p>
      <w:pPr>
        <w:jc w:val="both"/>
        <w:ind w:right="20" w:firstLine="408"/>
        <w:spacing w:after="0" w:line="314" w:lineRule="auto"/>
        <w:rPr>
          <w:sz w:val="20"/>
          <w:szCs w:val="20"/>
          <w:color w:val="auto"/>
        </w:rPr>
      </w:pPr>
      <w:r>
        <w:rPr>
          <w:rFonts w:ascii="Arial" w:cs="Arial" w:eastAsia="Arial" w:hAnsi="Arial"/>
          <w:sz w:val="14"/>
          <w:szCs w:val="14"/>
          <w:color w:val="auto"/>
        </w:rPr>
        <w:t>Leonard Martire, age 77, joined the Company in August 1987 and served as Executive Vice President of FEI Microwave, Inc., the Company's wholly-owned subsidiary, until May 1993 when he was elected Vice President, Marketing and Sales. In fiscal year 2007, Mr. Martire assumed the role of Vice President Program Management.</w:t>
      </w:r>
    </w:p>
    <w:p>
      <w:pPr>
        <w:spacing w:after="0" w:line="146"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Thomas McClelland, age 59, joined the Company as an engineer in 1984 and was elected Vice President, Commercial Products in March 1999. In fiscal year 2011, Mr. McClelland’s title was modified to Vice President Advanced Development to describe his expanded role in the Company.</w:t>
      </w:r>
    </w:p>
    <w:p>
      <w:pPr>
        <w:spacing w:after="0" w:line="169"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Adrian Lalicata, age 67, joined the Company in 2006 as Vice President, RF &amp; Microwave Systems. Prior to joining the Company, Mr. Lalicata served as Vice President of Engineering at Herley-CTI and Communication Techniques, a Dover Company. Mr Lalicata has served as Director of Engineering at Microphase Corp. and Adcomm, Inc. He also held leading engineering positions at Loral Electronic Systems, Cardion Electronics, and Airborne Instruments Laboratories.</w:t>
      </w:r>
    </w:p>
    <w:p>
      <w:pPr>
        <w:spacing w:after="0" w:line="177"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Alan Miller, age 65, joined the Company in November 1995 as its corporate controller and was elected to the position of Treasurer and Chief Financial Officer in October 1998. In May 2010, Mr. Miller was also named corporate Secretary. Prior to joining the Company, Mr. Miller served as an operations manager and a consultant to small businesses from 1992 through 1995 and as a Senior Audit Manager with Ernst &amp; Young, L.L.P. from 1980 to 1991.</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1A. Risk Factors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This item is not required for smaller reporting companies.</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1B. Unresolved Staff Comments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2. Properties</w:t>
      </w:r>
    </w:p>
    <w:p>
      <w:pPr>
        <w:spacing w:after="0" w:line="213"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Company operates out of several facilities located around the world. Each facility is used for manufacturing its products and for administrative activities. The following table presents the location, size and terms of ownership/occupation:</w:t>
      </w:r>
    </w:p>
    <w:p>
      <w:pPr>
        <w:spacing w:after="0" w:line="165" w:lineRule="exact"/>
        <w:rPr>
          <w:sz w:val="20"/>
          <w:szCs w:val="20"/>
          <w:color w:val="auto"/>
        </w:rPr>
      </w:pPr>
    </w:p>
    <w:tbl>
      <w:tblPr>
        <w:tblLayout w:type="fixed"/>
        <w:tblInd w:w="14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3540" w:type="dxa"/>
            <w:vAlign w:val="bottom"/>
            <w:tcBorders>
              <w:bottom w:val="single" w:sz="8" w:color="auto"/>
            </w:tcBorders>
          </w:tcPr>
          <w:p>
            <w:pPr>
              <w:ind w:left="1480"/>
              <w:spacing w:after="0"/>
              <w:rPr>
                <w:sz w:val="20"/>
                <w:szCs w:val="20"/>
                <w:color w:val="auto"/>
              </w:rPr>
            </w:pPr>
            <w:r>
              <w:rPr>
                <w:rFonts w:ascii="Arial" w:cs="Arial" w:eastAsia="Arial" w:hAnsi="Arial"/>
                <w:sz w:val="15"/>
                <w:szCs w:val="15"/>
                <w:b w:val="1"/>
                <w:bCs w:val="1"/>
                <w:color w:val="auto"/>
              </w:rPr>
              <w:t>Location</w:t>
            </w:r>
          </w:p>
        </w:tc>
        <w:tc>
          <w:tcPr>
            <w:tcW w:w="100" w:type="dxa"/>
            <w:vAlign w:val="bottom"/>
          </w:tcPr>
          <w:p>
            <w:pPr>
              <w:spacing w:after="0"/>
              <w:rPr>
                <w:sz w:val="17"/>
                <w:szCs w:val="17"/>
                <w:color w:val="auto"/>
              </w:rPr>
            </w:pPr>
          </w:p>
        </w:tc>
        <w:tc>
          <w:tcPr>
            <w:tcW w:w="1360" w:type="dxa"/>
            <w:vAlign w:val="bottom"/>
            <w:tcBorders>
              <w:bottom w:val="single" w:sz="8" w:color="auto"/>
            </w:tcBorders>
          </w:tcPr>
          <w:p>
            <w:pPr>
              <w:jc w:val="right"/>
              <w:ind w:right="224"/>
              <w:spacing w:after="0"/>
              <w:rPr>
                <w:sz w:val="20"/>
                <w:szCs w:val="20"/>
                <w:color w:val="auto"/>
              </w:rPr>
            </w:pPr>
            <w:r>
              <w:rPr>
                <w:rFonts w:ascii="Arial" w:cs="Arial" w:eastAsia="Arial" w:hAnsi="Arial"/>
                <w:sz w:val="15"/>
                <w:szCs w:val="15"/>
                <w:b w:val="1"/>
                <w:bCs w:val="1"/>
                <w:color w:val="auto"/>
              </w:rPr>
              <w:t>Size (sq. ft.)</w:t>
            </w:r>
          </w:p>
        </w:tc>
        <w:tc>
          <w:tcPr>
            <w:tcW w:w="100" w:type="dxa"/>
            <w:vAlign w:val="bottom"/>
          </w:tcPr>
          <w:p>
            <w:pPr>
              <w:spacing w:after="0"/>
              <w:rPr>
                <w:sz w:val="17"/>
                <w:szCs w:val="17"/>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Own or Lease</w:t>
            </w: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Long Island, NY</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93,000</w:t>
            </w:r>
          </w:p>
        </w:tc>
        <w:tc>
          <w:tcPr>
            <w:tcW w:w="100" w:type="dxa"/>
            <w:vAlign w:val="bottom"/>
            <w:shd w:val="clear" w:color="auto" w:fill="CCEEFF"/>
          </w:tcPr>
          <w:p>
            <w:pPr>
              <w:spacing w:after="0"/>
              <w:rPr>
                <w:sz w:val="15"/>
                <w:szCs w:val="15"/>
                <w:color w:val="auto"/>
              </w:rPr>
            </w:pPr>
          </w:p>
        </w:tc>
        <w:tc>
          <w:tcPr>
            <w:tcW w:w="3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Lease</w:t>
            </w: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Garden Grove, CA</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27,850</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Arial" w:cs="Arial" w:eastAsia="Arial" w:hAnsi="Arial"/>
                <w:sz w:val="15"/>
                <w:szCs w:val="15"/>
                <w:color w:val="auto"/>
                <w:w w:val="83"/>
              </w:rPr>
              <w:t>Lease</w:t>
            </w: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Liege, Belgium</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34,000</w:t>
            </w:r>
          </w:p>
        </w:tc>
        <w:tc>
          <w:tcPr>
            <w:tcW w:w="100" w:type="dxa"/>
            <w:vAlign w:val="bottom"/>
            <w:shd w:val="clear" w:color="auto" w:fill="CCEEFF"/>
          </w:tcPr>
          <w:p>
            <w:pPr>
              <w:spacing w:after="0"/>
              <w:rPr>
                <w:sz w:val="15"/>
                <w:szCs w:val="15"/>
                <w:color w:val="auto"/>
              </w:rPr>
            </w:pPr>
          </w:p>
        </w:tc>
        <w:tc>
          <w:tcPr>
            <w:tcW w:w="3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7"/>
              </w:rPr>
              <w:t>Own</w:t>
            </w:r>
          </w:p>
        </w:tc>
      </w:tr>
      <w:tr>
        <w:trPr>
          <w:trHeight w:val="182"/>
        </w:trPr>
        <w:tc>
          <w:tcPr>
            <w:tcW w:w="20" w:type="dxa"/>
            <w:vAlign w:val="bottom"/>
          </w:tcPr>
          <w:p>
            <w:pPr>
              <w:spacing w:after="0"/>
              <w:rPr>
                <w:sz w:val="15"/>
                <w:szCs w:val="15"/>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Chalon Sur Saone, France</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5,000</w:t>
            </w:r>
          </w:p>
        </w:tc>
        <w:tc>
          <w:tcPr>
            <w:tcW w:w="100" w:type="dxa"/>
            <w:vAlign w:val="bottom"/>
          </w:tcPr>
          <w:p>
            <w:pPr>
              <w:spacing w:after="0"/>
              <w:rPr>
                <w:sz w:val="15"/>
                <w:szCs w:val="15"/>
                <w:color w:val="auto"/>
              </w:rPr>
            </w:pPr>
          </w:p>
        </w:tc>
        <w:tc>
          <w:tcPr>
            <w:tcW w:w="3460" w:type="dxa"/>
            <w:vAlign w:val="bottom"/>
          </w:tcPr>
          <w:p>
            <w:pPr>
              <w:jc w:val="center"/>
              <w:spacing w:after="0"/>
              <w:rPr>
                <w:sz w:val="20"/>
                <w:szCs w:val="20"/>
                <w:color w:val="auto"/>
              </w:rPr>
            </w:pPr>
            <w:r>
              <w:rPr>
                <w:rFonts w:ascii="Arial" w:cs="Arial" w:eastAsia="Arial" w:hAnsi="Arial"/>
                <w:sz w:val="15"/>
                <w:szCs w:val="15"/>
                <w:color w:val="auto"/>
                <w:w w:val="83"/>
              </w:rPr>
              <w:t>Lease</w:t>
            </w:r>
          </w:p>
        </w:tc>
      </w:tr>
      <w:tr>
        <w:trPr>
          <w:trHeight w:val="182"/>
        </w:trPr>
        <w:tc>
          <w:tcPr>
            <w:tcW w:w="20" w:type="dxa"/>
            <w:vAlign w:val="bottom"/>
          </w:tcPr>
          <w:p>
            <w:pPr>
              <w:spacing w:after="0"/>
              <w:rPr>
                <w:sz w:val="15"/>
                <w:szCs w:val="15"/>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5"/>
                <w:szCs w:val="15"/>
                <w:color w:val="auto"/>
              </w:rPr>
              <w:t>Tianjin, China</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28,000</w:t>
            </w:r>
          </w:p>
        </w:tc>
        <w:tc>
          <w:tcPr>
            <w:tcW w:w="100" w:type="dxa"/>
            <w:vAlign w:val="bottom"/>
            <w:shd w:val="clear" w:color="auto" w:fill="CCEEFF"/>
          </w:tcPr>
          <w:p>
            <w:pPr>
              <w:spacing w:after="0"/>
              <w:rPr>
                <w:sz w:val="15"/>
                <w:szCs w:val="15"/>
                <w:color w:val="auto"/>
              </w:rPr>
            </w:pPr>
          </w:p>
        </w:tc>
        <w:tc>
          <w:tcPr>
            <w:tcW w:w="34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3"/>
              </w:rPr>
              <w:t>Lease</w:t>
            </w:r>
          </w:p>
        </w:tc>
      </w:tr>
      <w:tr>
        <w:trPr>
          <w:trHeight w:val="191"/>
        </w:trPr>
        <w:tc>
          <w:tcPr>
            <w:tcW w:w="20" w:type="dxa"/>
            <w:vAlign w:val="bottom"/>
          </w:tcPr>
          <w:p>
            <w:pPr>
              <w:spacing w:after="0"/>
              <w:rPr>
                <w:sz w:val="16"/>
                <w:szCs w:val="16"/>
                <w:color w:val="auto"/>
              </w:rPr>
            </w:pPr>
          </w:p>
        </w:tc>
        <w:tc>
          <w:tcPr>
            <w:tcW w:w="3540" w:type="dxa"/>
            <w:vAlign w:val="bottom"/>
          </w:tcPr>
          <w:p>
            <w:pPr>
              <w:spacing w:after="0"/>
              <w:rPr>
                <w:sz w:val="20"/>
                <w:szCs w:val="20"/>
                <w:color w:val="auto"/>
              </w:rPr>
            </w:pPr>
            <w:r>
              <w:rPr>
                <w:rFonts w:ascii="Arial" w:cs="Arial" w:eastAsia="Arial" w:hAnsi="Arial"/>
                <w:sz w:val="15"/>
                <w:szCs w:val="15"/>
                <w:color w:val="auto"/>
              </w:rPr>
              <w:t>Rockleigh, NJ</w:t>
            </w:r>
          </w:p>
        </w:tc>
        <w:tc>
          <w:tcPr>
            <w:tcW w:w="1460" w:type="dxa"/>
            <w:vAlign w:val="bottom"/>
            <w:gridSpan w:val="2"/>
          </w:tcPr>
          <w:p>
            <w:pPr>
              <w:jc w:val="right"/>
              <w:spacing w:after="0"/>
              <w:rPr>
                <w:sz w:val="20"/>
                <w:szCs w:val="20"/>
                <w:color w:val="auto"/>
              </w:rPr>
            </w:pPr>
            <w:r>
              <w:rPr>
                <w:rFonts w:ascii="Arial" w:cs="Arial" w:eastAsia="Arial" w:hAnsi="Arial"/>
                <w:sz w:val="15"/>
                <w:szCs w:val="15"/>
                <w:color w:val="auto"/>
              </w:rPr>
              <w:t>32,000</w:t>
            </w:r>
          </w:p>
        </w:tc>
        <w:tc>
          <w:tcPr>
            <w:tcW w:w="100" w:type="dxa"/>
            <w:vAlign w:val="bottom"/>
          </w:tcPr>
          <w:p>
            <w:pPr>
              <w:spacing w:after="0"/>
              <w:rPr>
                <w:sz w:val="16"/>
                <w:szCs w:val="16"/>
                <w:color w:val="auto"/>
              </w:rPr>
            </w:pPr>
          </w:p>
        </w:tc>
        <w:tc>
          <w:tcPr>
            <w:tcW w:w="3460" w:type="dxa"/>
            <w:vAlign w:val="bottom"/>
          </w:tcPr>
          <w:p>
            <w:pPr>
              <w:jc w:val="center"/>
              <w:spacing w:after="0"/>
              <w:rPr>
                <w:sz w:val="20"/>
                <w:szCs w:val="20"/>
                <w:color w:val="auto"/>
              </w:rPr>
            </w:pPr>
            <w:r>
              <w:rPr>
                <w:rFonts w:ascii="Arial" w:cs="Arial" w:eastAsia="Arial" w:hAnsi="Arial"/>
                <w:sz w:val="15"/>
                <w:szCs w:val="15"/>
                <w:color w:val="auto"/>
                <w:w w:val="83"/>
              </w:rPr>
              <w:t>Lease</w:t>
            </w:r>
          </w:p>
        </w:tc>
      </w:tr>
    </w:tbl>
    <w:p>
      <w:pPr>
        <w:spacing w:after="0" w:line="162"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The Company’s facility located in Mitchel Field, Long Island, New York, is part of the building that the Company constructed in 1981 and expanded in 1988 on land leased from Nassau County. In January 1998, the Company sold this building and the related land lease to Reckson Associates Realty Corp. (“Reckson”), leasing back the space that it presently occupies.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0" w:name="page11"/>
    <w:bookmarkEnd w:id="1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 leased its manufacturing and office space from Reckson under an initial 11-year lease followed by two five-year renewal periods. The Company is currently in the second 5-year renewal period paying annual rent of $800,000 per year plus its pro rata share of real estate taxes and the costs of utilities and insurance. The lease will end in January 2019. The leased space is adequate to meet the Company’s domestic operational needs which encompass the principal operations of the FEI-NY segment and also serves as the Company’s world-wide corporate headquarters.</w:t>
      </w:r>
    </w:p>
    <w:p>
      <w:pPr>
        <w:spacing w:after="0" w:line="180" w:lineRule="exact"/>
        <w:rPr>
          <w:sz w:val="20"/>
          <w:szCs w:val="20"/>
          <w:color w:val="auto"/>
        </w:rPr>
      </w:pPr>
    </w:p>
    <w:p>
      <w:pPr>
        <w:jc w:val="both"/>
        <w:ind w:firstLine="408"/>
        <w:spacing w:after="0" w:line="314" w:lineRule="auto"/>
        <w:rPr>
          <w:sz w:val="20"/>
          <w:szCs w:val="20"/>
          <w:color w:val="auto"/>
        </w:rPr>
      </w:pPr>
      <w:r>
        <w:rPr>
          <w:rFonts w:ascii="Arial" w:cs="Arial" w:eastAsia="Arial" w:hAnsi="Arial"/>
          <w:sz w:val="14"/>
          <w:szCs w:val="14"/>
          <w:color w:val="auto"/>
        </w:rPr>
        <w:t>The Garden Grove, California facility is leased by the Company’s subsidiary, FEI-Zyfer, Inc. The facility consists of a combination office and manufacturing space. The lease, which expires in August 2017, currently requires monthly payments of approximately $29,500 and will increase each year over the remaining 40 months of the lease term.</w:t>
      </w:r>
    </w:p>
    <w:p>
      <w:pPr>
        <w:spacing w:after="0" w:line="146" w:lineRule="exact"/>
        <w:rPr>
          <w:sz w:val="20"/>
          <w:szCs w:val="20"/>
          <w:color w:val="auto"/>
        </w:rPr>
      </w:pPr>
    </w:p>
    <w:p>
      <w:pPr>
        <w:jc w:val="both"/>
        <w:ind w:firstLine="408"/>
        <w:spacing w:after="0" w:line="357" w:lineRule="auto"/>
        <w:rPr>
          <w:sz w:val="20"/>
          <w:szCs w:val="20"/>
          <w:color w:val="auto"/>
        </w:rPr>
      </w:pPr>
      <w:r>
        <w:rPr>
          <w:rFonts w:ascii="Arial" w:cs="Arial" w:eastAsia="Arial" w:hAnsi="Arial"/>
          <w:sz w:val="13"/>
          <w:szCs w:val="13"/>
          <w:color w:val="auto"/>
        </w:rPr>
        <w:t>The Company’s subsidiary, Gillam-FEI, owns a manufacturing and office facility in Liege, Belgium. Gillam-FEI’s French operation leases space in Chalon Sur Saone, France under a 9-year lease, cancelable after three years, at an approximate rate of $1,100 per month. These facilities are adequate to meet the present and future operational requirements of Gillam-FEI.</w:t>
      </w:r>
    </w:p>
    <w:p>
      <w:pPr>
        <w:spacing w:after="0" w:line="122" w:lineRule="exact"/>
        <w:rPr>
          <w:sz w:val="20"/>
          <w:szCs w:val="20"/>
          <w:color w:val="auto"/>
        </w:rPr>
      </w:pPr>
    </w:p>
    <w:p>
      <w:pPr>
        <w:jc w:val="both"/>
        <w:ind w:firstLine="408"/>
        <w:spacing w:after="0" w:line="314" w:lineRule="auto"/>
        <w:rPr>
          <w:sz w:val="20"/>
          <w:szCs w:val="20"/>
          <w:color w:val="auto"/>
        </w:rPr>
      </w:pPr>
      <w:r>
        <w:rPr>
          <w:rFonts w:ascii="Arial" w:cs="Arial" w:eastAsia="Arial" w:hAnsi="Arial"/>
          <w:sz w:val="14"/>
          <w:szCs w:val="14"/>
          <w:color w:val="auto"/>
        </w:rPr>
        <w:t>The Tianjin, China facility is the location of the Company’s wholly-owned subsidiary, FEI-Asia. The subsidiary’s office and manufacturing facility is located in the Tianjin Free-Trade Zone. The lease is renewable annually with monthly rent of $6,800 through February 2015. The facility is adequate for the near-term manufacturing expectations for the Company.</w:t>
      </w:r>
    </w:p>
    <w:p>
      <w:pPr>
        <w:spacing w:after="0" w:line="146"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FEI-Elcom operates out of a leased facility located in Rockleigh, New Jersey. The facility consists of a combination office and manufacturing space. The lease, which expires in March 2016, requires monthly payments of $28,000.</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3. Legal Proceedings</w:t>
      </w:r>
    </w:p>
    <w:p>
      <w:pPr>
        <w:spacing w:after="0" w:line="213"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From time to time, the Company is a defendant in litigation arising out of the ordinary course of business. As of July 21, 2014, the Company is not a party to any material, pending legal proceeding other than routine litigation incidental to its business.</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4. Mine Safety Disclosures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Not applicable.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1" w:name="page12"/>
    <w:bookmarkEnd w:id="1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5. Market for Registrant's Common Equity, Related Stockholder Matters and Issuer Purchases of Equity Securities</w:t>
      </w:r>
    </w:p>
    <w:p>
      <w:pPr>
        <w:spacing w:after="0" w:line="213"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The Common Stock of the Company is listed on The Nasdaq Global Market (“NASDAQ”) under the ticker symbol “FEIM.” The following table shows the high and low sale price for the Company's Common Stock for the quarters indicated, as reported on the NASDAQ.</w:t>
      </w:r>
    </w:p>
    <w:p>
      <w:pPr>
        <w:spacing w:after="0" w:line="165" w:lineRule="exact"/>
        <w:rPr>
          <w:sz w:val="20"/>
          <w:szCs w:val="20"/>
          <w:color w:val="auto"/>
        </w:rPr>
      </w:pPr>
    </w:p>
    <w:tbl>
      <w:tblPr>
        <w:tblLayout w:type="fixed"/>
        <w:tblInd w:w="1420" w:type="dxa"/>
        <w:tblCellMar>
          <w:top w:w="0" w:type="dxa"/>
          <w:left w:w="0" w:type="dxa"/>
          <w:bottom w:w="0" w:type="dxa"/>
          <w:right w:w="0" w:type="dxa"/>
        </w:tblCellMar>
      </w:tblPr>
      <w:tr>
        <w:trPr>
          <w:trHeight w:val="199"/>
        </w:trPr>
        <w:tc>
          <w:tcPr>
            <w:tcW w:w="5400" w:type="dxa"/>
            <w:vAlign w:val="bottom"/>
            <w:gridSpan w:val="2"/>
          </w:tcPr>
          <w:p>
            <w:pPr>
              <w:spacing w:after="0"/>
              <w:rPr>
                <w:sz w:val="20"/>
                <w:szCs w:val="20"/>
                <w:color w:val="auto"/>
              </w:rPr>
            </w:pPr>
            <w:r>
              <w:rPr>
                <w:rFonts w:ascii="Arial" w:cs="Arial" w:eastAsia="Arial" w:hAnsi="Arial"/>
                <w:sz w:val="15"/>
                <w:szCs w:val="15"/>
                <w:b w:val="1"/>
                <w:bCs w:val="1"/>
                <w:color w:val="auto"/>
              </w:rPr>
              <w:t>FISCAL QUARTER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right"/>
              <w:ind w:right="184"/>
              <w:spacing w:after="0"/>
              <w:rPr>
                <w:sz w:val="20"/>
                <w:szCs w:val="20"/>
                <w:color w:val="auto"/>
              </w:rPr>
            </w:pPr>
            <w:r>
              <w:rPr>
                <w:rFonts w:ascii="Arial" w:cs="Arial" w:eastAsia="Arial" w:hAnsi="Arial"/>
                <w:sz w:val="15"/>
                <w:szCs w:val="15"/>
                <w:b w:val="1"/>
                <w:bCs w:val="1"/>
                <w:color w:val="auto"/>
              </w:rPr>
              <w:t>HIGH SALE</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gridSpan w:val="2"/>
          </w:tcPr>
          <w:p>
            <w:pPr>
              <w:ind w:left="120"/>
              <w:spacing w:after="0"/>
              <w:rPr>
                <w:sz w:val="20"/>
                <w:szCs w:val="20"/>
                <w:color w:val="auto"/>
              </w:rPr>
            </w:pPr>
            <w:r>
              <w:rPr>
                <w:rFonts w:ascii="Arial" w:cs="Arial" w:eastAsia="Arial" w:hAnsi="Arial"/>
                <w:sz w:val="15"/>
                <w:szCs w:val="15"/>
                <w:b w:val="1"/>
                <w:bCs w:val="1"/>
                <w:color w:val="auto"/>
              </w:rPr>
              <w:t>LOW SALE</w:t>
            </w:r>
          </w:p>
        </w:tc>
      </w:tr>
      <w:tr>
        <w:trPr>
          <w:trHeight w:val="182"/>
        </w:trPr>
        <w:tc>
          <w:tcPr>
            <w:tcW w:w="5400" w:type="dxa"/>
            <w:vAlign w:val="bottom"/>
            <w:tcBorders>
              <w:top w:val="single" w:sz="8" w:color="auto"/>
            </w:tcBorders>
            <w:gridSpan w:val="2"/>
          </w:tcPr>
          <w:p>
            <w:pPr>
              <w:spacing w:after="0"/>
              <w:rPr>
                <w:sz w:val="20"/>
                <w:szCs w:val="20"/>
                <w:color w:val="auto"/>
              </w:rPr>
            </w:pPr>
            <w:r>
              <w:rPr>
                <w:rFonts w:ascii="Arial" w:cs="Arial" w:eastAsia="Arial" w:hAnsi="Arial"/>
                <w:sz w:val="15"/>
                <w:szCs w:val="15"/>
                <w:color w:val="auto"/>
              </w:rPr>
              <w:t>2014 –</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FIRST QUARTER</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9.46</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80" w:type="dxa"/>
            <w:vAlign w:val="bottom"/>
          </w:tcPr>
          <w:p>
            <w:pPr>
              <w:ind w:left="260"/>
              <w:spacing w:after="0"/>
              <w:rPr>
                <w:sz w:val="20"/>
                <w:szCs w:val="20"/>
                <w:color w:val="auto"/>
              </w:rPr>
            </w:pPr>
            <w:r>
              <w:rPr>
                <w:rFonts w:ascii="Arial" w:cs="Arial" w:eastAsia="Arial" w:hAnsi="Arial"/>
                <w:sz w:val="15"/>
                <w:szCs w:val="15"/>
                <w:color w:val="auto"/>
              </w:rPr>
              <w:t>SECOND QUARTER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12.50</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10.12</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THIRD QUARTER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10.65</w:t>
            </w:r>
          </w:p>
        </w:tc>
        <w:tc>
          <w:tcPr>
            <w:tcW w:w="10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380" w:type="dxa"/>
            <w:vAlign w:val="bottom"/>
          </w:tcPr>
          <w:p>
            <w:pPr>
              <w:ind w:left="260"/>
              <w:spacing w:after="0"/>
              <w:rPr>
                <w:sz w:val="20"/>
                <w:szCs w:val="20"/>
                <w:color w:val="auto"/>
              </w:rPr>
            </w:pPr>
            <w:r>
              <w:rPr>
                <w:rFonts w:ascii="Arial" w:cs="Arial" w:eastAsia="Arial" w:hAnsi="Arial"/>
                <w:sz w:val="15"/>
                <w:szCs w:val="15"/>
                <w:color w:val="auto"/>
              </w:rPr>
              <w:t>FOURTH QUARTER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12.75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10.25</w:t>
            </w:r>
          </w:p>
        </w:tc>
        <w:tc>
          <w:tcPr>
            <w:tcW w:w="100" w:type="dxa"/>
            <w:vAlign w:val="bottom"/>
          </w:tcPr>
          <w:p>
            <w:pPr>
              <w:spacing w:after="0"/>
              <w:rPr>
                <w:sz w:val="16"/>
                <w:szCs w:val="16"/>
                <w:color w:val="auto"/>
              </w:rPr>
            </w:pPr>
          </w:p>
        </w:tc>
      </w:tr>
      <w:tr>
        <w:trPr>
          <w:trHeight w:val="353"/>
        </w:trPr>
        <w:tc>
          <w:tcPr>
            <w:tcW w:w="5400" w:type="dxa"/>
            <w:vAlign w:val="bottom"/>
            <w:gridSpan w:val="2"/>
          </w:tcPr>
          <w:p>
            <w:pPr>
              <w:spacing w:after="0"/>
              <w:rPr>
                <w:sz w:val="20"/>
                <w:szCs w:val="20"/>
                <w:color w:val="auto"/>
              </w:rPr>
            </w:pPr>
            <w:r>
              <w:rPr>
                <w:rFonts w:ascii="Arial" w:cs="Arial" w:eastAsia="Arial" w:hAnsi="Arial"/>
                <w:sz w:val="15"/>
                <w:szCs w:val="15"/>
                <w:color w:val="auto"/>
              </w:rPr>
              <w:t>2013 –</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FIRST QUARTER</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9.50</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80" w:type="dxa"/>
            <w:vAlign w:val="bottom"/>
          </w:tcPr>
          <w:p>
            <w:pPr>
              <w:ind w:left="260"/>
              <w:spacing w:after="0"/>
              <w:rPr>
                <w:sz w:val="20"/>
                <w:szCs w:val="20"/>
                <w:color w:val="auto"/>
              </w:rPr>
            </w:pPr>
            <w:r>
              <w:rPr>
                <w:rFonts w:ascii="Arial" w:cs="Arial" w:eastAsia="Arial" w:hAnsi="Arial"/>
                <w:sz w:val="15"/>
                <w:szCs w:val="15"/>
                <w:color w:val="auto"/>
              </w:rPr>
              <w:t>SECOND QUARTER</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9.74</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8.39</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3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THIRD QUARTER</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9.88</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10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380" w:type="dxa"/>
            <w:vAlign w:val="bottom"/>
          </w:tcPr>
          <w:p>
            <w:pPr>
              <w:ind w:left="260"/>
              <w:spacing w:after="0"/>
              <w:rPr>
                <w:sz w:val="20"/>
                <w:szCs w:val="20"/>
                <w:color w:val="auto"/>
              </w:rPr>
            </w:pPr>
            <w:r>
              <w:rPr>
                <w:rFonts w:ascii="Arial" w:cs="Arial" w:eastAsia="Arial" w:hAnsi="Arial"/>
                <w:sz w:val="15"/>
                <w:szCs w:val="15"/>
                <w:color w:val="auto"/>
              </w:rPr>
              <w:t>FOURTH QUARTER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10.25</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8.52</w:t>
            </w:r>
          </w:p>
        </w:tc>
        <w:tc>
          <w:tcPr>
            <w:tcW w:w="100" w:type="dxa"/>
            <w:vAlign w:val="bottom"/>
          </w:tcPr>
          <w:p>
            <w:pPr>
              <w:spacing w:after="0"/>
              <w:rPr>
                <w:sz w:val="16"/>
                <w:szCs w:val="16"/>
                <w:color w:val="auto"/>
              </w:rPr>
            </w:pPr>
          </w:p>
        </w:tc>
      </w:tr>
    </w:tbl>
    <w:p>
      <w:pPr>
        <w:spacing w:after="0" w:line="184"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As of July 21, 2014, the approximate number of holders of record of common stock was 700. The closing share price of the Company’s stock on April 30, 2014 was $10.60. The closing share price of the Company’s stock on July 21, 2014 was $10.88.</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DIVIDEND POLICY</w:t>
      </w:r>
    </w:p>
    <w:p>
      <w:pPr>
        <w:spacing w:after="0" w:line="213"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The Board of Directors reviews the Company’s dividend policy at each regular meeting. On December 12, 2012, the Company’s Board of Directors declared a special cash dividend of $0.20 per share, payable on December 31, 2012 to shareholders of record on December 24, 2012. Accordingly, the Company paid a cash dividend of $1,684,000 during fiscal year 2013. No dividends were declared or paid during fiscal year 2014.</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STOCK BUYBACK PROGRAM</w:t>
      </w:r>
    </w:p>
    <w:p>
      <w:pPr>
        <w:spacing w:after="0" w:line="213"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5"/>
          <w:szCs w:val="15"/>
          <w:color w:val="auto"/>
        </w:rPr>
        <w:t>In March 2005, the Company’s Board of Directors authorized a stock repurchase program for up to $5 million of the Company’s outstanding common stock. This program does not have an expiration date. Shares may be purchased in open market purchases, private transactions or otherwise at such times and from time to time, and at such prices and in such amounts as the Company believes appropriate and in the best interests of its shareholders. The timing and volume of repurchases will vary depending on market conditions and other factors. Purchases may be commenced or suspended at any time without notice. During fiscal year 2009, the Company repurchased 724,632 shares under the buyback program, including a block purchase of 615,000 shares from its former largest institutional shareholder. The average purchase price was $4.29 per share or an aggregate amount of approximately $3.1 million. With these purchases, the Company has acquired approximately $4 million of its common stock out of the total authorization of $5 million. The Company did not make any purchases of stock for the treasury during fiscal years 2014 or 2013.</w:t>
      </w:r>
    </w:p>
    <w:p>
      <w:pPr>
        <w:spacing w:after="0" w:line="312"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12" w:name="page13"/>
    <w:bookmarkEnd w:id="12"/>
    <w:tbl>
      <w:tblPr>
        <w:tblLayout w:type="fixed"/>
        <w:tblInd w:w="9" w:type="dxa"/>
        <w:tblCellMar>
          <w:top w:w="0" w:type="dxa"/>
          <w:left w:w="0" w:type="dxa"/>
          <w:bottom w:w="0" w:type="dxa"/>
          <w:right w:w="0" w:type="dxa"/>
        </w:tblCellMar>
      </w:tblPr>
      <w:tr>
        <w:trPr>
          <w:trHeight w:val="138"/>
        </w:trPr>
        <w:tc>
          <w:tcPr>
            <w:tcW w:w="560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43"/>
        </w:trPr>
        <w:tc>
          <w:tcPr>
            <w:tcW w:w="5600" w:type="dxa"/>
            <w:vAlign w:val="bottom"/>
            <w:gridSpan w:val="3"/>
          </w:tcPr>
          <w:p>
            <w:pPr>
              <w:spacing w:after="0"/>
              <w:rPr>
                <w:sz w:val="20"/>
                <w:szCs w:val="20"/>
                <w:color w:val="auto"/>
              </w:rPr>
            </w:pPr>
            <w:r>
              <w:rPr>
                <w:rFonts w:ascii="Arial" w:cs="Arial" w:eastAsia="Arial" w:hAnsi="Arial"/>
                <w:sz w:val="15"/>
                <w:szCs w:val="15"/>
                <w:color w:val="auto"/>
              </w:rPr>
              <w:t>EQUITY COMPENSATION PLAN INFORMATION</w:t>
            </w: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2"/>
        </w:trPr>
        <w:tc>
          <w:tcPr>
            <w:tcW w:w="840" w:type="dxa"/>
            <w:vAlign w:val="bottom"/>
            <w:tcBorders>
              <w:top w:val="single" w:sz="8" w:color="auto"/>
            </w:tcBorders>
          </w:tcPr>
          <w:p>
            <w:pPr>
              <w:spacing w:after="0"/>
              <w:rPr>
                <w:sz w:val="24"/>
                <w:szCs w:val="24"/>
                <w:color w:val="auto"/>
              </w:rPr>
            </w:pPr>
          </w:p>
        </w:tc>
        <w:tc>
          <w:tcPr>
            <w:tcW w:w="2440" w:type="dxa"/>
            <w:vAlign w:val="bottom"/>
            <w:tcBorders>
              <w:top w:val="single" w:sz="8" w:color="auto"/>
            </w:tcBorders>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Number of securities</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remaining available for</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9"/>
              </w:rPr>
              <w:t>future issuance under</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9"/>
              </w:rPr>
              <w:t>Number of securities to</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9"/>
              </w:rPr>
              <w:t>Weighted-average</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7"/>
              </w:rPr>
              <w:t>equity compensation</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5"/>
                <w:szCs w:val="15"/>
                <w:b w:val="1"/>
                <w:bCs w:val="1"/>
                <w:color w:val="auto"/>
                <w:w w:val="86"/>
              </w:rPr>
              <w:t>be issued upon exercise</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7"/>
              </w:rPr>
              <w:t>exercise price of</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1"/>
              </w:rPr>
              <w:t>plans</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88"/>
              </w:rPr>
              <w:t>of outstanding options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88"/>
              </w:rPr>
              <w:t>outstanding options</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88"/>
              </w:rPr>
              <w:t>(excluding securities</w:t>
            </w:r>
          </w:p>
        </w:tc>
      </w:tr>
      <w:tr>
        <w:trPr>
          <w:trHeight w:val="199"/>
        </w:trPr>
        <w:tc>
          <w:tcPr>
            <w:tcW w:w="5600" w:type="dxa"/>
            <w:vAlign w:val="bottom"/>
            <w:gridSpan w:val="3"/>
          </w:tcPr>
          <w:p>
            <w:pPr>
              <w:spacing w:after="0"/>
              <w:rPr>
                <w:sz w:val="20"/>
                <w:szCs w:val="20"/>
                <w:color w:val="auto"/>
              </w:rPr>
            </w:pPr>
            <w:r>
              <w:rPr>
                <w:rFonts w:ascii="Arial" w:cs="Arial" w:eastAsia="Arial" w:hAnsi="Arial"/>
                <w:sz w:val="15"/>
                <w:szCs w:val="15"/>
                <w:b w:val="1"/>
                <w:bCs w:val="1"/>
                <w:color w:val="auto"/>
              </w:rPr>
              <w:t>Plan Category</w:t>
            </w:r>
          </w:p>
        </w:tc>
        <w:tc>
          <w:tcPr>
            <w:tcW w:w="14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warrants and rights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5"/>
                <w:szCs w:val="15"/>
                <w:b w:val="1"/>
                <w:bCs w:val="1"/>
                <w:color w:val="auto"/>
                <w:w w:val="91"/>
              </w:rPr>
              <w:t>warrants and rights</w:t>
            </w:r>
          </w:p>
        </w:tc>
        <w:tc>
          <w:tcPr>
            <w:tcW w:w="1820" w:type="dxa"/>
            <w:vAlign w:val="bottom"/>
            <w:gridSpan w:val="2"/>
          </w:tcPr>
          <w:p>
            <w:pPr>
              <w:jc w:val="center"/>
              <w:ind w:right="100"/>
              <w:spacing w:after="0"/>
              <w:rPr>
                <w:sz w:val="20"/>
                <w:szCs w:val="20"/>
                <w:color w:val="auto"/>
              </w:rPr>
            </w:pPr>
            <w:r>
              <w:rPr>
                <w:rFonts w:ascii="Arial" w:cs="Arial" w:eastAsia="Arial" w:hAnsi="Arial"/>
                <w:sz w:val="15"/>
                <w:szCs w:val="15"/>
                <w:b w:val="1"/>
                <w:bCs w:val="1"/>
                <w:color w:val="auto"/>
                <w:w w:val="92"/>
              </w:rPr>
              <w:t>reflected in column (a))</w:t>
            </w:r>
          </w:p>
        </w:tc>
      </w:tr>
      <w:tr>
        <w:trPr>
          <w:trHeight w:val="182"/>
        </w:trPr>
        <w:tc>
          <w:tcPr>
            <w:tcW w:w="840" w:type="dxa"/>
            <w:vAlign w:val="bottom"/>
            <w:tcBorders>
              <w:top w:val="single" w:sz="8" w:color="auto"/>
            </w:tcBorders>
          </w:tcPr>
          <w:p>
            <w:pPr>
              <w:spacing w:after="0"/>
              <w:rPr>
                <w:sz w:val="15"/>
                <w:szCs w:val="15"/>
                <w:color w:val="auto"/>
              </w:rPr>
            </w:pPr>
          </w:p>
        </w:tc>
        <w:tc>
          <w:tcPr>
            <w:tcW w:w="2440" w:type="dxa"/>
            <w:vAlign w:val="bottom"/>
            <w:tcBorders>
              <w:top w:val="single" w:sz="8" w:color="auto"/>
            </w:tcBorders>
          </w:tcPr>
          <w:p>
            <w:pPr>
              <w:spacing w:after="0"/>
              <w:rPr>
                <w:sz w:val="15"/>
                <w:szCs w:val="15"/>
                <w:color w:val="auto"/>
              </w:rPr>
            </w:pPr>
          </w:p>
        </w:tc>
        <w:tc>
          <w:tcPr>
            <w:tcW w:w="2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7"/>
              </w:rPr>
              <w:t>(a)</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580" w:type="dxa"/>
            <w:vAlign w:val="bottom"/>
            <w:tcBorders>
              <w:top w:val="single" w:sz="8" w:color="auto"/>
            </w:tcBorders>
          </w:tcPr>
          <w:p>
            <w:pPr>
              <w:jc w:val="center"/>
              <w:ind w:right="64"/>
              <w:spacing w:after="0"/>
              <w:rPr>
                <w:sz w:val="20"/>
                <w:szCs w:val="20"/>
                <w:color w:val="auto"/>
              </w:rPr>
            </w:pPr>
            <w:r>
              <w:rPr>
                <w:rFonts w:ascii="Arial" w:cs="Arial" w:eastAsia="Arial" w:hAnsi="Arial"/>
                <w:sz w:val="15"/>
                <w:szCs w:val="15"/>
                <w:color w:val="auto"/>
                <w:w w:val="87"/>
              </w:rPr>
              <w:t>(b)</w:t>
            </w:r>
          </w:p>
        </w:tc>
        <w:tc>
          <w:tcPr>
            <w:tcW w:w="220" w:type="dxa"/>
            <w:vAlign w:val="bottom"/>
          </w:tcPr>
          <w:p>
            <w:pPr>
              <w:spacing w:after="0"/>
              <w:rPr>
                <w:sz w:val="15"/>
                <w:szCs w:val="15"/>
                <w:color w:val="auto"/>
              </w:rPr>
            </w:pPr>
          </w:p>
        </w:tc>
        <w:tc>
          <w:tcPr>
            <w:tcW w:w="1720" w:type="dxa"/>
            <w:vAlign w:val="bottom"/>
            <w:tcBorders>
              <w:top w:val="single" w:sz="8" w:color="auto"/>
            </w:tcBorders>
          </w:tcPr>
          <w:p>
            <w:pPr>
              <w:jc w:val="center"/>
              <w:spacing w:after="0"/>
              <w:rPr>
                <w:sz w:val="20"/>
                <w:szCs w:val="20"/>
                <w:color w:val="auto"/>
              </w:rPr>
            </w:pPr>
            <w:r>
              <w:rPr>
                <w:rFonts w:ascii="Arial" w:cs="Arial" w:eastAsia="Arial" w:hAnsi="Arial"/>
                <w:sz w:val="15"/>
                <w:szCs w:val="15"/>
                <w:color w:val="auto"/>
                <w:w w:val="91"/>
              </w:rPr>
              <w:t>(c)</w:t>
            </w:r>
          </w:p>
        </w:tc>
        <w:tc>
          <w:tcPr>
            <w:tcW w:w="100" w:type="dxa"/>
            <w:vAlign w:val="bottom"/>
          </w:tcPr>
          <w:p>
            <w:pPr>
              <w:spacing w:after="0"/>
              <w:rPr>
                <w:sz w:val="15"/>
                <w:szCs w:val="15"/>
                <w:color w:val="auto"/>
              </w:rPr>
            </w:pPr>
          </w:p>
        </w:tc>
      </w:tr>
      <w:tr>
        <w:trPr>
          <w:trHeight w:val="171"/>
        </w:trPr>
        <w:tc>
          <w:tcPr>
            <w:tcW w:w="5600" w:type="dxa"/>
            <w:vAlign w:val="bottom"/>
            <w:gridSpan w:val="3"/>
            <w:shd w:val="clear" w:color="auto" w:fill="CCEEFF"/>
          </w:tcPr>
          <w:p>
            <w:pPr>
              <w:spacing w:after="0" w:line="171" w:lineRule="exact"/>
              <w:rPr>
                <w:sz w:val="20"/>
                <w:szCs w:val="20"/>
                <w:color w:val="auto"/>
              </w:rPr>
            </w:pPr>
            <w:r>
              <w:rPr>
                <w:rFonts w:ascii="Arial" w:cs="Arial" w:eastAsia="Arial" w:hAnsi="Arial"/>
                <w:sz w:val="15"/>
                <w:szCs w:val="15"/>
                <w:color w:val="auto"/>
              </w:rPr>
              <w:t>Equity Compensation Plans</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2"/>
        </w:trPr>
        <w:tc>
          <w:tcPr>
            <w:tcW w:w="5600" w:type="dxa"/>
            <w:vAlign w:val="bottom"/>
            <w:gridSpan w:val="3"/>
            <w:shd w:val="clear" w:color="auto" w:fill="CCEEFF"/>
          </w:tcPr>
          <w:p>
            <w:pPr>
              <w:ind w:left="120"/>
              <w:spacing w:after="0"/>
              <w:rPr>
                <w:sz w:val="20"/>
                <w:szCs w:val="20"/>
                <w:color w:val="auto"/>
              </w:rPr>
            </w:pPr>
            <w:r>
              <w:rPr>
                <w:rFonts w:ascii="Arial" w:cs="Arial" w:eastAsia="Arial" w:hAnsi="Arial"/>
                <w:sz w:val="15"/>
                <w:szCs w:val="15"/>
                <w:color w:val="auto"/>
              </w:rPr>
              <w:t>Approved by Security Holders (1)</w:t>
            </w:r>
          </w:p>
        </w:tc>
        <w:tc>
          <w:tcPr>
            <w:tcW w:w="188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1,710,125</w:t>
            </w:r>
          </w:p>
        </w:tc>
        <w:tc>
          <w:tcPr>
            <w:tcW w:w="80" w:type="dxa"/>
            <w:vAlign w:val="bottom"/>
            <w:shd w:val="clear" w:color="auto" w:fill="CCEEFF"/>
          </w:tcPr>
          <w:p>
            <w:pPr>
              <w:spacing w:after="0"/>
              <w:rPr>
                <w:sz w:val="16"/>
                <w:szCs w:val="16"/>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8.60</w:t>
            </w:r>
          </w:p>
        </w:tc>
        <w:tc>
          <w:tcPr>
            <w:tcW w:w="18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6,816</w:t>
            </w:r>
          </w:p>
        </w:tc>
      </w:tr>
      <w:tr>
        <w:trPr>
          <w:trHeight w:val="182"/>
        </w:trPr>
        <w:tc>
          <w:tcPr>
            <w:tcW w:w="8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1"/>
        </w:trPr>
        <w:tc>
          <w:tcPr>
            <w:tcW w:w="5600" w:type="dxa"/>
            <w:vAlign w:val="bottom"/>
            <w:gridSpan w:val="3"/>
            <w:shd w:val="clear" w:color="auto" w:fill="CCEEFF"/>
          </w:tcPr>
          <w:p>
            <w:pPr>
              <w:spacing w:after="0" w:line="171" w:lineRule="exact"/>
              <w:rPr>
                <w:sz w:val="20"/>
                <w:szCs w:val="20"/>
                <w:color w:val="auto"/>
              </w:rPr>
            </w:pPr>
            <w:r>
              <w:rPr>
                <w:rFonts w:ascii="Arial" w:cs="Arial" w:eastAsia="Arial" w:hAnsi="Arial"/>
                <w:sz w:val="15"/>
                <w:szCs w:val="15"/>
                <w:color w:val="auto"/>
              </w:rPr>
              <w:t>Equity Compensation Plans Not</w:t>
            </w:r>
          </w:p>
        </w:tc>
        <w:tc>
          <w:tcPr>
            <w:tcW w:w="14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95"/>
        </w:trPr>
        <w:tc>
          <w:tcPr>
            <w:tcW w:w="560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5"/>
                <w:szCs w:val="15"/>
                <w:color w:val="auto"/>
              </w:rPr>
              <w:t>Approved by Security Holders (1)</w:t>
            </w:r>
          </w:p>
        </w:tc>
        <w:tc>
          <w:tcPr>
            <w:tcW w:w="14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50,000</w:t>
            </w:r>
          </w:p>
        </w:tc>
        <w:tc>
          <w:tcPr>
            <w:tcW w:w="100" w:type="dxa"/>
            <w:vAlign w:val="bottom"/>
            <w:tcBorders>
              <w:bottom w:val="single" w:sz="8" w:color="CCEEFF"/>
            </w:tcBorders>
            <w:gridSpan w:val="2"/>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8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11.52</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5600" w:type="dxa"/>
            <w:vAlign w:val="bottom"/>
            <w:gridSpan w:val="3"/>
          </w:tcPr>
          <w:p>
            <w:pPr>
              <w:spacing w:after="0"/>
              <w:rPr>
                <w:sz w:val="20"/>
                <w:szCs w:val="20"/>
                <w:color w:val="auto"/>
              </w:rPr>
            </w:pPr>
            <w:r>
              <w:rPr>
                <w:rFonts w:ascii="Arial" w:cs="Arial" w:eastAsia="Arial" w:hAnsi="Arial"/>
                <w:sz w:val="15"/>
                <w:szCs w:val="15"/>
                <w:color w:val="auto"/>
              </w:rPr>
              <w:t>TOTAL</w:t>
            </w:r>
          </w:p>
        </w:tc>
        <w:tc>
          <w:tcPr>
            <w:tcW w:w="1880" w:type="dxa"/>
            <w:vAlign w:val="bottom"/>
            <w:gridSpan w:val="3"/>
          </w:tcPr>
          <w:p>
            <w:pPr>
              <w:jc w:val="right"/>
              <w:ind w:right="20"/>
              <w:spacing w:after="0"/>
              <w:rPr>
                <w:sz w:val="20"/>
                <w:szCs w:val="20"/>
                <w:color w:val="auto"/>
              </w:rPr>
            </w:pPr>
            <w:r>
              <w:rPr>
                <w:rFonts w:ascii="Arial" w:cs="Arial" w:eastAsia="Arial" w:hAnsi="Arial"/>
                <w:sz w:val="15"/>
                <w:szCs w:val="15"/>
                <w:color w:val="auto"/>
              </w:rPr>
              <w:t>1,760,125</w:t>
            </w:r>
          </w:p>
        </w:tc>
        <w:tc>
          <w:tcPr>
            <w:tcW w:w="80" w:type="dxa"/>
            <w:vAlign w:val="bottom"/>
          </w:tcPr>
          <w:p>
            <w:pPr>
              <w:spacing w:after="0"/>
              <w:rPr>
                <w:sz w:val="15"/>
                <w:szCs w:val="15"/>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5"/>
                <w:szCs w:val="15"/>
                <w:color w:val="auto"/>
              </w:rPr>
              <w:t>$</w:t>
            </w:r>
          </w:p>
        </w:tc>
        <w:tc>
          <w:tcPr>
            <w:tcW w:w="1800" w:type="dxa"/>
            <w:vAlign w:val="bottom"/>
            <w:gridSpan w:val="2"/>
          </w:tcPr>
          <w:p>
            <w:pPr>
              <w:jc w:val="right"/>
              <w:ind w:right="220"/>
              <w:spacing w:after="0"/>
              <w:rPr>
                <w:sz w:val="20"/>
                <w:szCs w:val="20"/>
                <w:color w:val="auto"/>
              </w:rPr>
            </w:pPr>
            <w:r>
              <w:rPr>
                <w:rFonts w:ascii="Arial" w:cs="Arial" w:eastAsia="Arial" w:hAnsi="Arial"/>
                <w:sz w:val="15"/>
                <w:szCs w:val="15"/>
                <w:color w:val="auto"/>
              </w:rPr>
              <w:t>8.69</w:t>
            </w:r>
          </w:p>
        </w:tc>
        <w:tc>
          <w:tcPr>
            <w:tcW w:w="1820" w:type="dxa"/>
            <w:vAlign w:val="bottom"/>
            <w:gridSpan w:val="2"/>
          </w:tcPr>
          <w:p>
            <w:pPr>
              <w:jc w:val="right"/>
              <w:ind w:right="100"/>
              <w:spacing w:after="0"/>
              <w:rPr>
                <w:sz w:val="20"/>
                <w:szCs w:val="20"/>
                <w:color w:val="auto"/>
              </w:rPr>
            </w:pPr>
            <w:r>
              <w:rPr>
                <w:rFonts w:ascii="Arial" w:cs="Arial" w:eastAsia="Arial" w:hAnsi="Arial"/>
                <w:sz w:val="15"/>
                <w:szCs w:val="15"/>
                <w:color w:val="auto"/>
              </w:rPr>
              <w:t>6,816</w:t>
            </w:r>
          </w:p>
        </w:tc>
      </w:tr>
      <w:tr>
        <w:trPr>
          <w:trHeight w:val="20"/>
        </w:trPr>
        <w:tc>
          <w:tcPr>
            <w:tcW w:w="8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9" w:right="4560" w:hanging="9"/>
        <w:spacing w:after="0" w:line="536" w:lineRule="auto"/>
        <w:tabs>
          <w:tab w:leader="none" w:pos="221" w:val="left"/>
        </w:tabs>
        <w:numPr>
          <w:ilvl w:val="0"/>
          <w:numId w:val="5"/>
        </w:numPr>
        <w:rPr>
          <w:rFonts w:ascii="Arial" w:cs="Arial" w:eastAsia="Arial" w:hAnsi="Arial"/>
          <w:sz w:val="15"/>
          <w:szCs w:val="15"/>
          <w:color w:val="auto"/>
        </w:rPr>
      </w:pPr>
      <w:r>
        <w:rPr>
          <w:rFonts w:ascii="Arial" w:cs="Arial" w:eastAsia="Arial" w:hAnsi="Arial"/>
          <w:sz w:val="15"/>
          <w:szCs w:val="15"/>
          <w:color w:val="auto"/>
        </w:rPr>
        <w:t xml:space="preserve">The Company’s equity compensation plans are described in Note 12 to the Consolidated Financial Statements. </w:t>
      </w:r>
      <w:r>
        <w:rPr>
          <w:rFonts w:ascii="Arial" w:cs="Arial" w:eastAsia="Arial" w:hAnsi="Arial"/>
          <w:sz w:val="15"/>
          <w:szCs w:val="15"/>
          <w:u w:val="single" w:color="auto"/>
          <w:color w:val="auto"/>
        </w:rPr>
        <w:t>Item 6. Selected Financial Data</w:t>
      </w:r>
    </w:p>
    <w:p>
      <w:pPr>
        <w:ind w:left="409"/>
        <w:spacing w:after="0"/>
        <w:rPr>
          <w:rFonts w:ascii="Arial" w:cs="Arial" w:eastAsia="Arial" w:hAnsi="Arial"/>
          <w:sz w:val="15"/>
          <w:szCs w:val="15"/>
          <w:color w:val="auto"/>
        </w:rPr>
      </w:pPr>
      <w:r>
        <w:rPr>
          <w:rFonts w:ascii="Arial" w:cs="Arial" w:eastAsia="Arial" w:hAnsi="Arial"/>
          <w:sz w:val="15"/>
          <w:szCs w:val="15"/>
          <w:color w:val="auto"/>
        </w:rPr>
        <w:t>This item is not required for smaller reporting companies.</w:t>
      </w:r>
    </w:p>
    <w:p>
      <w:pPr>
        <w:spacing w:after="0" w:line="213" w:lineRule="exact"/>
        <w:rPr>
          <w:rFonts w:ascii="Arial" w:cs="Arial" w:eastAsia="Arial" w:hAnsi="Arial"/>
          <w:sz w:val="15"/>
          <w:szCs w:val="15"/>
          <w:color w:val="auto"/>
        </w:rPr>
      </w:pPr>
    </w:p>
    <w:p>
      <w:pPr>
        <w:ind w:left="9"/>
        <w:spacing w:after="0"/>
        <w:rPr>
          <w:rFonts w:ascii="Arial" w:cs="Arial" w:eastAsia="Arial" w:hAnsi="Arial"/>
          <w:sz w:val="15"/>
          <w:szCs w:val="15"/>
          <w:color w:val="auto"/>
        </w:rPr>
      </w:pPr>
      <w:r>
        <w:rPr>
          <w:rFonts w:ascii="Arial" w:cs="Arial" w:eastAsia="Arial" w:hAnsi="Arial"/>
          <w:sz w:val="15"/>
          <w:szCs w:val="15"/>
          <w:u w:val="single" w:color="auto"/>
          <w:color w:val="auto"/>
        </w:rPr>
        <w:t>Item 7. Management’s Discussion and Analysis of Financial Condition and Results of Operations</w:t>
      </w:r>
    </w:p>
    <w:p>
      <w:pPr>
        <w:spacing w:after="0" w:line="209"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“Safe Harbor” Statement under the Private Securities Litigation Reform Act of 1995:</w:t>
      </w:r>
    </w:p>
    <w:p>
      <w:pPr>
        <w:spacing w:after="0" w:line="217" w:lineRule="exact"/>
        <w:rPr>
          <w:sz w:val="20"/>
          <w:szCs w:val="20"/>
          <w:color w:val="auto"/>
        </w:rPr>
      </w:pPr>
    </w:p>
    <w:p>
      <w:pPr>
        <w:jc w:val="both"/>
        <w:ind w:left="9" w:firstLine="408"/>
        <w:spacing w:after="0" w:line="274" w:lineRule="auto"/>
        <w:rPr>
          <w:sz w:val="20"/>
          <w:szCs w:val="20"/>
          <w:color w:val="auto"/>
        </w:rPr>
      </w:pPr>
      <w:r>
        <w:rPr>
          <w:rFonts w:ascii="Arial" w:cs="Arial" w:eastAsia="Arial" w:hAnsi="Arial"/>
          <w:sz w:val="14"/>
          <w:szCs w:val="14"/>
          <w:color w:val="auto"/>
        </w:rPr>
        <w:t>The statements in this Annual Report on Form 10-K regarding future earnings and operations and other statements relating to the future constitute "forward-looking" statements pursuant to the safe harbor provisions of the Private Securities Litigation Reform Act of 1995. Forward-looking statements inherently involve risks and uncertainties that could cause actual results to differ materially from the forward-looking statements. Factors that would cause or contribute to such differences include, but are not limited to, inability to integrate operations and personnel, actions by significant customers or competitors, general domestic and international economic conditions, consumer spending trends, reliance on key customers, continued acceptance of the Company's products in the marketplace, competitive factors, new products and technological changes, product prices and raw material costs, dependence upon third-party vendors, competitive developments, changes in manufacturing and transportation costs, the availability of capital, and the outcome of any litigation and arbitration proceedings. The factors listed above are not exhaustive. Other sections of this Form 10-K include additional factors that could materially and adversely impact the Company’s business, financial condition and results of operations. Moreover, the Company operates in a very competitive and rapidly changing environment. New factors emerge from time to time and it is not possible for management to predict the impact of all these factors on the Company’s business, financial condition or results of operations or the extent to which any factor, or combination of factors, may cause actual results to differ materially from those contained in any forward-looking statements. Given these risks and uncertainties, investors should not rely on forward-looking statements as a prediction of actual results. Any or all of the forward-looking statements contained in this Form 10-K and any other public statement made by the Company or its management may turn out to be incorrect. The Company expressly disclaims any obligation to update or revise any forward-looking statements, whether as a result of new information, future events or otherwise.</w:t>
      </w:r>
    </w:p>
    <w:p>
      <w:pPr>
        <w:spacing w:after="0" w:line="29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15" w:right="219" w:bottom="1440" w:gutter="0" w:footer="0" w:header="0"/>
        </w:sectPr>
      </w:pPr>
    </w:p>
    <w:bookmarkStart w:id="13" w:name="page14"/>
    <w:bookmarkEnd w:id="1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217"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The Company’s significant accounting policies are described in Note 1 to the Consolidated Financial Statements. The Company believes its most critical accounting policies to be the recognition of revenue and costs on production contracts and the valuation of inventory. Each of these areas requires the Company to make use of reasonable estimates including estimating the cost to complete a contract, the realizable value of its inventory or the market value of its products. Changes in estimates can have a material impact on the Company’s financial position and results of operations.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Revenue Recognition</w:t>
      </w:r>
    </w:p>
    <w:p>
      <w:pPr>
        <w:spacing w:after="0" w:line="213" w:lineRule="exact"/>
        <w:rPr>
          <w:sz w:val="20"/>
          <w:szCs w:val="20"/>
          <w:color w:val="auto"/>
        </w:rPr>
      </w:pPr>
    </w:p>
    <w:p>
      <w:pPr>
        <w:jc w:val="both"/>
        <w:ind w:firstLine="408"/>
        <w:spacing w:after="0" w:line="256" w:lineRule="auto"/>
        <w:rPr>
          <w:sz w:val="20"/>
          <w:szCs w:val="20"/>
          <w:color w:val="auto"/>
        </w:rPr>
      </w:pPr>
      <w:r>
        <w:rPr>
          <w:rFonts w:ascii="Arial" w:cs="Arial" w:eastAsia="Arial" w:hAnsi="Arial"/>
          <w:sz w:val="15"/>
          <w:szCs w:val="15"/>
          <w:color w:val="auto"/>
        </w:rPr>
        <w:t>Revenues under larger, long-term contracts which generally require billings based on achievement of milestones rather than delivery of product, are reported in operating results using the percentage of completion method. On fixed-price contracts, which are typical for commercial and U.S. Government satellite programs and other long-term U.S. Government projects, and which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Each month management reviews estimated contract costs through a process of aggregating actual costs incurred and estimating additional costs to completion based upon the current available information and status of the contract. The effect of any change in the estimated gross margin percentage for a contract is reflected in revenues in the period in which the change is known. Provisions for anticipated losses on contracts are made in the period in which they become determinable.</w:t>
      </w:r>
    </w:p>
    <w:p>
      <w:pPr>
        <w:spacing w:after="0" w:line="187"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production-type orders, revenue is recorded as units are delivered with the related cost of sales recognized on each shipment based upon a percentage of estimated final program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costs.</w:t>
      </w:r>
    </w:p>
    <w:p>
      <w:pPr>
        <w:spacing w:after="0" w:line="204"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Changes in job performance on long-term contracts and production-type orders may result in revisions to costs and income and are recognized in the period in which revisions are determined to be required. Provisions for anticipated losses on customer orders are made in the period in which they become determinable.</w:t>
      </w:r>
    </w:p>
    <w:p>
      <w:pPr>
        <w:spacing w:after="0" w:line="169"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For customer orders in the Company’s Gillam-FEI and FEI-Zyfer segments or smaller contracts or orders in the FEI-NY segment, sales of products and services to customers are reported in operating results based upon (i) shipment of the product or (ii) performance of the services pursuant to terms of the customer order. When payment is contingent upon customer acceptance of the installed system, revenue is deferred until such acceptance is received and installation completed.</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Costs and Expenses</w:t>
      </w:r>
    </w:p>
    <w:p>
      <w:pPr>
        <w:spacing w:after="0" w:line="213"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Contract costs include all direct material, direct labor costs, manufacturing overhead and other direct costs related to contract performance. Selling, general and administrative costs are charged to expense as incurred.</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Inventory</w:t>
      </w:r>
    </w:p>
    <w:p>
      <w:pPr>
        <w:spacing w:after="0" w:line="213"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In accordance with industry practice, inventoried costs contain amounts relating to contracts and programs with long production cycles, a portion of which will not be realized within one year. Inventory write downs are established for slow-moving materials, obsolete items and costs incurred on programs for which production-level orders cannot be determined as probable. Such write downs are based upon management’s experience and expectations for future business. Any changes arising from revised expectations are reflected in cost of sales in the period the revision is made.</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Marketable Securities</w:t>
      </w:r>
    </w:p>
    <w:p>
      <w:pPr>
        <w:spacing w:after="0" w:line="213"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All of the Company’s investments in marketable securities are Level 1 securities which trade on public markets and have current prices that are readily available. In general, investments in fixed price securities are only in the commercial paper of financially sound corporations or the bonds of U.S. Government agencies. Although the value of such investments may fluctuate significantly based on economic factors, the Company’s own financial strength enables it to wait for the securities to either recover their value or to mature such that any interim unrealized gains or losses are deemed to be temporary.</w:t>
      </w: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14" w:name="page15"/>
    <w:bookmarkEnd w:id="1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RESULTS OF OPERATIONS</w:t>
      </w:r>
    </w:p>
    <w:p>
      <w:pPr>
        <w:spacing w:after="0" w:line="217" w:lineRule="exact"/>
        <w:rPr>
          <w:sz w:val="20"/>
          <w:szCs w:val="20"/>
          <w:color w:val="auto"/>
        </w:rPr>
      </w:pPr>
    </w:p>
    <w:p>
      <w:pPr>
        <w:ind w:firstLine="408"/>
        <w:spacing w:after="0" w:line="277" w:lineRule="auto"/>
        <w:rPr>
          <w:sz w:val="20"/>
          <w:szCs w:val="20"/>
          <w:color w:val="auto"/>
        </w:rPr>
      </w:pPr>
      <w:r>
        <w:rPr>
          <w:rFonts w:ascii="Arial" w:cs="Arial" w:eastAsia="Arial" w:hAnsi="Arial"/>
          <w:sz w:val="15"/>
          <w:szCs w:val="15"/>
          <w:color w:val="auto"/>
        </w:rPr>
        <w:t>The table below sets forth for the fiscal years ended April 30, 2014 and 2013, the percentage of consolidated net sales represented by certain items in the Company’s consolidated statements of operations: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2014</w:t>
            </w: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ind w:left="220"/>
              <w:spacing w:after="0"/>
              <w:rPr>
                <w:sz w:val="20"/>
                <w:szCs w:val="20"/>
                <w:color w:val="auto"/>
              </w:rPr>
            </w:pPr>
            <w:r>
              <w:rPr>
                <w:rFonts w:ascii="Arial" w:cs="Arial" w:eastAsia="Arial" w:hAnsi="Arial"/>
                <w:sz w:val="15"/>
                <w:szCs w:val="15"/>
                <w:b w:val="1"/>
                <w:bCs w:val="1"/>
                <w:color w:val="auto"/>
              </w:rPr>
              <w:t>2013</w:t>
            </w: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1"/>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60" w:type="dxa"/>
            <w:vAlign w:val="bottom"/>
            <w:gridSpan w:val="2"/>
          </w:tcPr>
          <w:p>
            <w:pPr>
              <w:ind w:left="400"/>
              <w:spacing w:after="0"/>
              <w:rPr>
                <w:sz w:val="20"/>
                <w:szCs w:val="20"/>
                <w:color w:val="auto"/>
              </w:rPr>
            </w:pPr>
            <w:r>
              <w:rPr>
                <w:rFonts w:ascii="Arial" w:cs="Arial" w:eastAsia="Arial" w:hAnsi="Arial"/>
                <w:sz w:val="15"/>
                <w:szCs w:val="15"/>
                <w:color w:val="auto"/>
              </w:rPr>
              <w:t>Revenues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FEI-NY</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77.9%</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76.3%</w:t>
            </w: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ind w:left="260"/>
              <w:spacing w:after="0"/>
              <w:rPr>
                <w:sz w:val="20"/>
                <w:szCs w:val="20"/>
                <w:color w:val="auto"/>
              </w:rPr>
            </w:pPr>
            <w:r>
              <w:rPr>
                <w:rFonts w:ascii="Arial" w:cs="Arial" w:eastAsia="Arial" w:hAnsi="Arial"/>
                <w:sz w:val="15"/>
                <w:szCs w:val="15"/>
                <w:color w:val="auto"/>
              </w:rPr>
              <w:t>Gillam-FEI</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14.0</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17.1</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ind w:left="260"/>
              <w:spacing w:after="0"/>
              <w:rPr>
                <w:sz w:val="20"/>
                <w:szCs w:val="20"/>
                <w:color w:val="auto"/>
              </w:rPr>
            </w:pPr>
            <w:r>
              <w:rPr>
                <w:rFonts w:ascii="Arial" w:cs="Arial" w:eastAsia="Arial" w:hAnsi="Arial"/>
                <w:sz w:val="15"/>
                <w:szCs w:val="15"/>
                <w:color w:val="auto"/>
              </w:rPr>
              <w:t>FEI-Zyfer</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1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ind w:left="260"/>
              <w:spacing w:after="0"/>
              <w:rPr>
                <w:sz w:val="20"/>
                <w:szCs w:val="20"/>
                <w:color w:val="auto"/>
              </w:rPr>
            </w:pPr>
            <w:r>
              <w:rPr>
                <w:rFonts w:ascii="Arial" w:cs="Arial" w:eastAsia="Arial" w:hAnsi="Arial"/>
                <w:sz w:val="15"/>
                <w:szCs w:val="15"/>
                <w:color w:val="auto"/>
              </w:rPr>
              <w:t>Less intersegment revenues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(3.1)</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(8.7)</w:t>
            </w:r>
          </w:p>
        </w:tc>
        <w:tc>
          <w:tcPr>
            <w:tcW w:w="1440" w:type="dxa"/>
            <w:vAlign w:val="bottom"/>
          </w:tcPr>
          <w:p>
            <w:pPr>
              <w:spacing w:after="0"/>
              <w:rPr>
                <w:sz w:val="16"/>
                <w:szCs w:val="16"/>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100.0</w:t>
            </w:r>
          </w:p>
        </w:tc>
        <w:tc>
          <w:tcPr>
            <w:tcW w:w="1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Cost of Revenues</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63.6</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ind w:left="1080"/>
              <w:spacing w:after="0"/>
              <w:rPr>
                <w:sz w:val="20"/>
                <w:szCs w:val="20"/>
                <w:color w:val="auto"/>
              </w:rPr>
            </w:pPr>
            <w:r>
              <w:rPr>
                <w:rFonts w:ascii="Arial" w:cs="Arial" w:eastAsia="Arial" w:hAnsi="Arial"/>
                <w:sz w:val="15"/>
                <w:szCs w:val="15"/>
                <w:color w:val="auto"/>
              </w:rPr>
              <w:t>Gross Margin</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36.4</w:t>
            </w:r>
          </w:p>
        </w:tc>
        <w:tc>
          <w:tcPr>
            <w:tcW w:w="1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w w:val="92"/>
              </w:rPr>
              <w:t>Selling and Administrative expenses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19.7</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21.3</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4"/>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87"/>
              </w:rPr>
              <w:t>Research and Development expenses</w:t>
            </w:r>
          </w:p>
        </w:tc>
        <w:tc>
          <w:tcPr>
            <w:tcW w:w="30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right w:val="single" w:sz="8" w:color="CCEEFF"/>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200" w:type="dxa"/>
            <w:vAlign w:val="bottom"/>
            <w:tcBorders>
              <w:left w:val="single" w:sz="8" w:color="CCEEFF"/>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8.3</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Pr>
          <w:p>
            <w:pPr>
              <w:spacing w:after="0"/>
              <w:rPr>
                <w:sz w:val="16"/>
                <w:szCs w:val="16"/>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jc w:val="right"/>
              <w:ind w:right="244"/>
              <w:spacing w:after="0"/>
              <w:rPr>
                <w:sz w:val="20"/>
                <w:szCs w:val="20"/>
                <w:color w:val="auto"/>
              </w:rPr>
            </w:pPr>
            <w:r>
              <w:rPr>
                <w:rFonts w:ascii="Arial" w:cs="Arial" w:eastAsia="Arial" w:hAnsi="Arial"/>
                <w:sz w:val="15"/>
                <w:szCs w:val="15"/>
                <w:color w:val="auto"/>
              </w:rPr>
              <w:t>Operating Profit</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6.8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6.8</w:t>
            </w: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Other Income (Expenses), net</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0.6</w:t>
            </w:r>
          </w:p>
        </w:tc>
        <w:tc>
          <w:tcPr>
            <w:tcW w:w="1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Provision for Income Taxes</w:t>
            </w: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5"/>
                <w:szCs w:val="15"/>
                <w:color w:val="auto"/>
              </w:rPr>
              <w:t>(3.2)</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5"/>
                <w:szCs w:val="15"/>
                <w:color w:val="auto"/>
              </w:rPr>
              <w:t>(2.0)</w:t>
            </w:r>
          </w:p>
        </w:tc>
        <w:tc>
          <w:tcPr>
            <w:tcW w:w="1440" w:type="dxa"/>
            <w:vAlign w:val="bottom"/>
          </w:tcPr>
          <w:p>
            <w:pPr>
              <w:spacing w:after="0"/>
              <w:rPr>
                <w:sz w:val="15"/>
                <w:szCs w:val="15"/>
                <w:color w:val="auto"/>
              </w:rPr>
            </w:pPr>
          </w:p>
        </w:tc>
      </w:tr>
      <w:tr>
        <w:trPr>
          <w:trHeight w:val="23"/>
        </w:trPr>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tcBorders>
              <w:right w:val="single" w:sz="8" w:color="auto"/>
            </w:tcBorders>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4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5.4%</w:t>
            </w:r>
          </w:p>
        </w:tc>
        <w:tc>
          <w:tcPr>
            <w:tcW w:w="1440" w:type="dxa"/>
            <w:vAlign w:val="bottom"/>
          </w:tcPr>
          <w:p>
            <w:pPr>
              <w:spacing w:after="0"/>
              <w:rPr>
                <w:sz w:val="19"/>
                <w:szCs w:val="19"/>
                <w:color w:val="auto"/>
              </w:rPr>
            </w:pPr>
          </w:p>
        </w:tc>
      </w:tr>
      <w:tr>
        <w:trPr>
          <w:trHeight w:val="337"/>
        </w:trPr>
        <w:tc>
          <w:tcPr>
            <w:tcW w:w="400" w:type="dxa"/>
            <w:vAlign w:val="bottom"/>
          </w:tcPr>
          <w:p>
            <w:pPr>
              <w:spacing w:after="0"/>
              <w:rPr>
                <w:sz w:val="24"/>
                <w:szCs w:val="24"/>
                <w:color w:val="auto"/>
              </w:rPr>
            </w:pPr>
          </w:p>
        </w:tc>
        <w:tc>
          <w:tcPr>
            <w:tcW w:w="1040" w:type="dxa"/>
            <w:vAlign w:val="bottom"/>
            <w:gridSpan w:val="2"/>
          </w:tcPr>
          <w:p>
            <w:pPr>
              <w:spacing w:after="0"/>
              <w:rPr>
                <w:sz w:val="20"/>
                <w:szCs w:val="20"/>
                <w:color w:val="auto"/>
              </w:rPr>
            </w:pPr>
            <w:r>
              <w:rPr>
                <w:rFonts w:ascii="Arial" w:cs="Arial" w:eastAsia="Arial" w:hAnsi="Arial"/>
                <w:sz w:val="15"/>
                <w:szCs w:val="15"/>
                <w:b w:val="1"/>
                <w:bCs w:val="1"/>
                <w:color w:val="auto"/>
              </w:rPr>
              <w:t>Revenues</w:t>
            </w:r>
          </w:p>
        </w:tc>
        <w:tc>
          <w:tcPr>
            <w:tcW w:w="22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362"/>
        </w:trPr>
        <w:tc>
          <w:tcPr>
            <w:tcW w:w="40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4"/>
          </w:tcPr>
          <w:p>
            <w:pPr>
              <w:jc w:val="right"/>
              <w:ind w:right="24"/>
              <w:spacing w:after="0"/>
              <w:rPr>
                <w:sz w:val="20"/>
                <w:szCs w:val="20"/>
                <w:color w:val="auto"/>
              </w:rPr>
            </w:pPr>
            <w:r>
              <w:rPr>
                <w:rFonts w:ascii="Arial" w:cs="Arial" w:eastAsia="Arial" w:hAnsi="Arial"/>
                <w:sz w:val="15"/>
                <w:szCs w:val="15"/>
                <w:b w:val="1"/>
                <w:bCs w:val="1"/>
                <w:color w:val="auto"/>
              </w:rPr>
              <w:t>Fiscal years ended April 30,</w:t>
            </w: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99"/>
        </w:trPr>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260" w:type="dxa"/>
            <w:vAlign w:val="bottom"/>
            <w:tcBorders>
              <w:bottom w:val="single" w:sz="8" w:color="auto"/>
            </w:tcBorders>
            <w:gridSpan w:val="4"/>
          </w:tcPr>
          <w:p>
            <w:pPr>
              <w:jc w:val="right"/>
              <w:ind w:right="464"/>
              <w:spacing w:after="0"/>
              <w:rPr>
                <w:sz w:val="20"/>
                <w:szCs w:val="20"/>
                <w:color w:val="auto"/>
              </w:rPr>
            </w:pPr>
            <w:r>
              <w:rPr>
                <w:rFonts w:ascii="Arial" w:cs="Arial" w:eastAsia="Arial" w:hAnsi="Arial"/>
                <w:sz w:val="15"/>
                <w:szCs w:val="15"/>
                <w:b w:val="1"/>
                <w:bCs w:val="1"/>
                <w:color w:val="auto"/>
              </w:rPr>
              <w:t>(in thousands)</w:t>
            </w:r>
          </w:p>
        </w:tc>
        <w:tc>
          <w:tcPr>
            <w:tcW w:w="44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4"/>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4"/>
          </w:tcPr>
          <w:p>
            <w:pPr>
              <w:ind w:left="320"/>
              <w:spacing w:after="0"/>
              <w:rPr>
                <w:sz w:val="20"/>
                <w:szCs w:val="20"/>
                <w:color w:val="auto"/>
              </w:rPr>
            </w:pPr>
            <w:r>
              <w:rPr>
                <w:rFonts w:ascii="Arial" w:cs="Arial" w:eastAsia="Arial" w:hAnsi="Arial"/>
                <w:sz w:val="15"/>
                <w:szCs w:val="15"/>
                <w:b w:val="1"/>
                <w:bCs w:val="1"/>
                <w:color w:val="auto"/>
              </w:rPr>
              <w:t>Change</w:t>
            </w: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4"/>
        </w:trPr>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w:t>
            </w:r>
          </w:p>
        </w:tc>
        <w:tc>
          <w:tcPr>
            <w:tcW w:w="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FEI-NY</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55,772</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52,567</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3,205</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w:t>
            </w: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Gillam-FEI</w:t>
            </w: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9,995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11,825</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5"/>
                <w:szCs w:val="15"/>
                <w:color w:val="auto"/>
                <w:w w:val="96"/>
              </w:rPr>
              <w:t>(1,830)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(15%)</w:t>
            </w: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spacing w:after="0"/>
              <w:rPr>
                <w:sz w:val="20"/>
                <w:szCs w:val="20"/>
                <w:color w:val="auto"/>
              </w:rPr>
            </w:pPr>
            <w:r>
              <w:rPr>
                <w:rFonts w:ascii="Arial" w:cs="Arial" w:eastAsia="Arial" w:hAnsi="Arial"/>
                <w:sz w:val="15"/>
                <w:szCs w:val="15"/>
                <w:color w:val="auto"/>
              </w:rPr>
              <w:t>FEI-Zyfer</w:t>
            </w: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10,523</w:t>
            </w:r>
          </w:p>
        </w:tc>
        <w:tc>
          <w:tcPr>
            <w:tcW w:w="120" w:type="dxa"/>
            <w:vAlign w:val="bottom"/>
            <w:shd w:val="clear" w:color="auto" w:fill="CCEEFF"/>
          </w:tcPr>
          <w:p>
            <w:pPr>
              <w:spacing w:after="0"/>
              <w:rPr>
                <w:sz w:val="15"/>
                <w:szCs w:val="15"/>
                <w:color w:val="auto"/>
              </w:rPr>
            </w:pPr>
          </w:p>
        </w:tc>
        <w:tc>
          <w:tcPr>
            <w:tcW w:w="140" w:type="dxa"/>
            <w:vAlign w:val="bottom"/>
            <w:tcBorders>
              <w:right w:val="single" w:sz="8" w:color="CCEEFF"/>
            </w:tcBorders>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6"/>
              </w:rPr>
              <w:t>(2,533)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(24%)</w:t>
            </w:r>
          </w:p>
        </w:tc>
        <w:tc>
          <w:tcPr>
            <w:tcW w:w="1440" w:type="dxa"/>
            <w:vAlign w:val="bottom"/>
          </w:tcPr>
          <w:p>
            <w:pPr>
              <w:spacing w:after="0"/>
              <w:rPr>
                <w:sz w:val="15"/>
                <w:szCs w:val="15"/>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tcPr>
          <w:p>
            <w:pPr>
              <w:spacing w:after="0"/>
              <w:rPr>
                <w:sz w:val="20"/>
                <w:szCs w:val="20"/>
                <w:color w:val="auto"/>
              </w:rPr>
            </w:pPr>
            <w:r>
              <w:rPr>
                <w:rFonts w:ascii="Arial" w:cs="Arial" w:eastAsia="Arial" w:hAnsi="Arial"/>
                <w:sz w:val="15"/>
                <w:szCs w:val="15"/>
                <w:color w:val="auto"/>
              </w:rPr>
              <w:t>Intersegment sales</w:t>
            </w: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(2,207)</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5"/>
                <w:szCs w:val="15"/>
                <w:color w:val="auto"/>
              </w:rPr>
              <w:t>(5,983)</w:t>
            </w: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3,776</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23"/>
        </w:trPr>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182"/>
        </w:trPr>
        <w:tc>
          <w:tcPr>
            <w:tcW w:w="4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71,550</w:t>
            </w:r>
          </w:p>
        </w:tc>
        <w:tc>
          <w:tcPr>
            <w:tcW w:w="12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68,932</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2,618</w:t>
            </w:r>
          </w:p>
        </w:tc>
        <w:tc>
          <w:tcPr>
            <w:tcW w:w="200" w:type="dxa"/>
            <w:vAlign w:val="bottom"/>
            <w:tcBorders>
              <w:left w:val="single" w:sz="8" w:color="CCEEFF"/>
            </w:tcBorders>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w:t>
            </w:r>
          </w:p>
        </w:tc>
        <w:tc>
          <w:tcPr>
            <w:tcW w:w="1440" w:type="dxa"/>
            <w:vAlign w:val="bottom"/>
          </w:tcPr>
          <w:p>
            <w:pPr>
              <w:spacing w:after="0"/>
              <w:rPr>
                <w:sz w:val="15"/>
                <w:szCs w:val="15"/>
                <w:color w:val="auto"/>
              </w:rPr>
            </w:pPr>
          </w:p>
        </w:tc>
      </w:tr>
      <w:tr>
        <w:trPr>
          <w:trHeight w:val="486"/>
        </w:trPr>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jc w:val="right"/>
              <w:ind w:right="744"/>
              <w:spacing w:after="0"/>
              <w:rPr>
                <w:sz w:val="20"/>
                <w:szCs w:val="20"/>
                <w:color w:val="auto"/>
              </w:rPr>
            </w:pPr>
            <w:r>
              <w:rPr>
                <w:rFonts w:ascii="Arial" w:cs="Arial" w:eastAsia="Arial" w:hAnsi="Arial"/>
                <w:sz w:val="15"/>
                <w:szCs w:val="15"/>
                <w:color w:val="auto"/>
              </w:rPr>
              <w:t>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9"/>
        </w:trPr>
        <w:tc>
          <w:tcPr>
            <w:tcW w:w="40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2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5" w:name="page16"/>
    <w:bookmarkEnd w:id="1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Fiscal year 2014 compared to fiscal year 2013:</w:t>
      </w:r>
    </w:p>
    <w:p>
      <w:pPr>
        <w:spacing w:after="0" w:line="213" w:lineRule="exact"/>
        <w:rPr>
          <w:sz w:val="20"/>
          <w:szCs w:val="20"/>
          <w:color w:val="auto"/>
        </w:rPr>
      </w:pPr>
    </w:p>
    <w:p>
      <w:pPr>
        <w:jc w:val="both"/>
        <w:ind w:right="80" w:firstLine="408"/>
        <w:spacing w:after="0" w:line="276" w:lineRule="auto"/>
        <w:rPr>
          <w:sz w:val="20"/>
          <w:szCs w:val="20"/>
          <w:color w:val="auto"/>
        </w:rPr>
      </w:pPr>
      <w:r>
        <w:rPr>
          <w:rFonts w:ascii="Arial" w:cs="Arial" w:eastAsia="Arial" w:hAnsi="Arial"/>
          <w:sz w:val="14"/>
          <w:szCs w:val="14"/>
          <w:color w:val="auto"/>
        </w:rPr>
        <w:t>For the year ended April 30, 2014, revenues from commercial and U.S. Government satellite programs accounted for approximately 60% of consolidated revenues and increased by approximately 25% over fiscal year 2013. Revenues on these long-term contracts, which are recorded in the FEI-NY segment, are recognized primarily under the percentage of completion method. Revenues from non-space U.S. Government/DOD customers, which are recorded in both the FEI-NY and FEI-Zyfer segments, accounted for approximately 20% of fiscal year 2014 consolidated revenues. Such revenues decreased by approximately 25% from fiscal year 2013, with some of the decline attributable to continuing uncertainty regarding the U.S. DOD budget. For the year ended April 30, 2014, total revenues from both satellite and non-space programs for which the U.S. Government is the end-user were approximately 54% of consolidated revenues as compared to 62% the prior fiscal year. This decrease is primarily due to a higher ratio of commercial satellite contracts that the FEI-NY segment is working on in comparison to prior years. Network infrastructure and other commercial revenues accounted for approximately 20% of consolidated revenues and declined by approximately 10% from the prior fiscal year. Network infrastructure and other commercial revenues are recorded in all three segments although the largest network infrastructure sales volume is recorded in the Gillam-FEI and FEI-Zyfer segments and accounted for most of the year-over-year revenue declines in those two segments.</w:t>
      </w:r>
    </w:p>
    <w:p>
      <w:pPr>
        <w:spacing w:after="0" w:line="172"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Fiscal year 2013 compared to fiscal year 2012:</w:t>
      </w:r>
    </w:p>
    <w:p>
      <w:pPr>
        <w:spacing w:after="0" w:line="213" w:lineRule="exact"/>
        <w:rPr>
          <w:sz w:val="20"/>
          <w:szCs w:val="20"/>
          <w:color w:val="auto"/>
        </w:rPr>
      </w:pPr>
    </w:p>
    <w:p>
      <w:pPr>
        <w:jc w:val="both"/>
        <w:ind w:right="80" w:firstLine="408"/>
        <w:spacing w:after="0" w:line="298" w:lineRule="auto"/>
        <w:rPr>
          <w:sz w:val="20"/>
          <w:szCs w:val="20"/>
          <w:color w:val="auto"/>
        </w:rPr>
      </w:pPr>
      <w:r>
        <w:rPr>
          <w:rFonts w:ascii="Arial" w:cs="Arial" w:eastAsia="Arial" w:hAnsi="Arial"/>
          <w:sz w:val="13"/>
          <w:szCs w:val="13"/>
          <w:color w:val="auto"/>
        </w:rPr>
        <w:t>For the year ended April 30, 2013, FEI-NY revenues from commercial and U.S. Government satellite programs increased 11% over the prior year. Revenues from these programs accounted for 50% of fiscal year 2013 consolidated sales, approximately the same ratio as for fiscal year 2012. Revenues on these long-term contracts are recognized primarily under the percentage of completion method. For the year ended April 30, 2013, sales from the non-space U.S. Government/DOD business area accounted for more than 25% of consolidated revenues and increased by more than 40% over fiscal year 2012. This increase is due to the impact of FEI-Elcom which was acquired by the Company in late fiscal year 2012 and is part of the FEI-NY segment. For the year ended April 30, 2013, total revenues from both satellite and non-space programs for which the U.S. Government is the end-user, accounted for 62% of consolidated revenues compared to approximately 45% in the prior fiscal year. Such revenues are recorded in the FEI-Zyfer segment as well as FEI-NY (including FEI-Elcom). For the year ended April 30, 2013, network infrastructure and other commercial sales, which are recorded in all three segments, accounted for approximately 25% of consolidated revenues as compared to approximately 30% of revenues in the prior fiscal year. Network infrastructure sales were 8% lower in fiscal year 2013 compared to fiscal year 2012 and is the partial cause of decreased revenue at the FEI-Zyfer and Gillam-FEI segments. The decline in revenues at the Gillam-FEI segment is also partially attributable to a 6% year-over-year decrease in the rate of exchange between the U.S. dollar and the euro. The revenue decline at FEI-Zyfer is also due to delays in orders from U.S. Government customers as a result of recent U.S. budget issues.</w:t>
      </w:r>
    </w:p>
    <w:p>
      <w:pPr>
        <w:spacing w:after="0" w:line="163" w:lineRule="exact"/>
        <w:rPr>
          <w:sz w:val="20"/>
          <w:szCs w:val="20"/>
          <w:color w:val="auto"/>
        </w:rPr>
      </w:pPr>
    </w:p>
    <w:p>
      <w:pPr>
        <w:jc w:val="both"/>
        <w:ind w:right="80" w:firstLine="408"/>
        <w:spacing w:after="0" w:line="261" w:lineRule="auto"/>
        <w:rPr>
          <w:sz w:val="20"/>
          <w:szCs w:val="20"/>
          <w:color w:val="auto"/>
        </w:rPr>
      </w:pPr>
      <w:r>
        <w:rPr>
          <w:rFonts w:ascii="Arial" w:cs="Arial" w:eastAsia="Arial" w:hAnsi="Arial"/>
          <w:sz w:val="15"/>
          <w:szCs w:val="15"/>
          <w:color w:val="auto"/>
        </w:rPr>
        <w:t>Based on the Company’s current backlog, over three-fourths of which represent satellite payload business, and the potential for additional new orders, fiscal year 2015 revenues are expected to grow. Satellite payload revenues will remain the dominant portion of the Company’s business and represent a large opportunity for long-term growth, benefiting from both commercial and U.S. Government programs. Fiscal year 2015 revenues from U.S. Government/DOD non-space, network infrastructure and other commercial programs, are expected to remain in approximately the same range as realized in fiscal year 2014.</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Gross Margin</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20" w:type="dxa"/>
            <w:vAlign w:val="bottom"/>
            <w:gridSpan w:val="4"/>
          </w:tcPr>
          <w:p>
            <w:pPr>
              <w:jc w:val="center"/>
              <w:ind w:right="360"/>
              <w:spacing w:after="0"/>
              <w:rPr>
                <w:sz w:val="20"/>
                <w:szCs w:val="20"/>
                <w:color w:val="auto"/>
              </w:rPr>
            </w:pPr>
            <w:r>
              <w:rPr>
                <w:rFonts w:ascii="Arial" w:cs="Arial" w:eastAsia="Arial" w:hAnsi="Arial"/>
                <w:sz w:val="15"/>
                <w:szCs w:val="15"/>
                <w:b w:val="1"/>
                <w:bCs w:val="1"/>
                <w:color w:val="auto"/>
                <w:w w:val="90"/>
              </w:rPr>
              <w:t>Fiscal years ended April 30,</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99"/>
        </w:trPr>
        <w:tc>
          <w:tcPr>
            <w:tcW w:w="1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4"/>
          </w:tcPr>
          <w:p>
            <w:pPr>
              <w:jc w:val="center"/>
              <w:ind w:right="340"/>
              <w:spacing w:after="0"/>
              <w:rPr>
                <w:sz w:val="20"/>
                <w:szCs w:val="20"/>
                <w:color w:val="auto"/>
              </w:rPr>
            </w:pPr>
            <w:r>
              <w:rPr>
                <w:rFonts w:ascii="Arial" w:cs="Arial" w:eastAsia="Arial" w:hAnsi="Arial"/>
                <w:sz w:val="15"/>
                <w:szCs w:val="15"/>
                <w:b w:val="1"/>
                <w:bCs w:val="1"/>
                <w:color w:val="auto"/>
                <w:w w:val="88"/>
              </w:rPr>
              <w:t>(in thousands)</w:t>
            </w:r>
          </w:p>
        </w:tc>
        <w:tc>
          <w:tcPr>
            <w:tcW w:w="66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184"/>
        </w:trPr>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Change</w:t>
            </w:r>
          </w:p>
        </w:tc>
        <w:tc>
          <w:tcPr>
            <w:tcW w:w="12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184"/>
        </w:trPr>
        <w:tc>
          <w:tcPr>
            <w:tcW w:w="11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w w:val="89"/>
              </w:rPr>
              <w:t>2014</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w w:val="89"/>
              </w:rPr>
              <w:t>2013</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344"/>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04"/>
        </w:trPr>
        <w:tc>
          <w:tcPr>
            <w:tcW w:w="18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24,750</w:t>
            </w:r>
          </w:p>
        </w:tc>
        <w:tc>
          <w:tcPr>
            <w:tcW w:w="9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25,110</w:t>
            </w:r>
          </w:p>
        </w:tc>
        <w:tc>
          <w:tcPr>
            <w:tcW w:w="178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(360</w:t>
            </w:r>
          </w:p>
        </w:tc>
        <w:tc>
          <w:tcPr>
            <w:tcW w:w="106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rPr>
              <w:t>)</w:t>
            </w:r>
          </w:p>
        </w:tc>
        <w:tc>
          <w:tcPr>
            <w:tcW w:w="154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(1</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1"/>
        </w:trPr>
        <w:tc>
          <w:tcPr>
            <w:tcW w:w="1800" w:type="dxa"/>
            <w:vAlign w:val="bottom"/>
            <w:gridSpan w:val="2"/>
          </w:tcPr>
          <w:p>
            <w:pPr>
              <w:jc w:val="right"/>
              <w:ind w:right="1260"/>
              <w:spacing w:after="0"/>
              <w:rPr>
                <w:sz w:val="20"/>
                <w:szCs w:val="20"/>
                <w:color w:val="auto"/>
              </w:rPr>
            </w:pPr>
            <w:r>
              <w:rPr>
                <w:rFonts w:ascii="Arial" w:cs="Arial" w:eastAsia="Arial" w:hAnsi="Arial"/>
                <w:sz w:val="15"/>
                <w:szCs w:val="15"/>
                <w:color w:val="auto"/>
                <w:w w:val="86"/>
              </w:rPr>
              <w:t>GM Rate</w:t>
            </w: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34.6</w:t>
            </w:r>
          </w:p>
        </w:tc>
        <w:tc>
          <w:tcPr>
            <w:tcW w:w="98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640" w:type="dxa"/>
            <w:vAlign w:val="bottom"/>
          </w:tcPr>
          <w:p>
            <w:pPr>
              <w:spacing w:after="0"/>
              <w:rPr>
                <w:sz w:val="16"/>
                <w:szCs w:val="16"/>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5"/>
                <w:szCs w:val="15"/>
                <w:color w:val="auto"/>
              </w:rPr>
              <w:t>36.4</w:t>
            </w:r>
          </w:p>
        </w:tc>
        <w:tc>
          <w:tcPr>
            <w:tcW w:w="980" w:type="dxa"/>
            <w:vAlign w:val="bottom"/>
          </w:tcPr>
          <w:p>
            <w:pPr>
              <w:jc w:val="right"/>
              <w:ind w:right="524"/>
              <w:spacing w:after="0"/>
              <w:rPr>
                <w:sz w:val="20"/>
                <w:szCs w:val="20"/>
                <w:color w:val="auto"/>
              </w:rPr>
            </w:pPr>
            <w:r>
              <w:rPr>
                <w:rFonts w:ascii="Arial" w:cs="Arial" w:eastAsia="Arial" w:hAnsi="Arial"/>
                <w:sz w:val="15"/>
                <w:szCs w:val="15"/>
                <w:color w:val="auto"/>
              </w:rPr>
              <w:t>%</w:t>
            </w:r>
          </w:p>
        </w:tc>
        <w:tc>
          <w:tcPr>
            <w:tcW w:w="8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r>
    </w:tbl>
    <w:p>
      <w:pPr>
        <w:spacing w:after="0" w:line="184" w:lineRule="exact"/>
        <w:rPr>
          <w:sz w:val="20"/>
          <w:szCs w:val="20"/>
          <w:color w:val="auto"/>
        </w:rPr>
      </w:pPr>
    </w:p>
    <w:p>
      <w:pPr>
        <w:jc w:val="both"/>
        <w:ind w:right="80" w:firstLine="408"/>
        <w:spacing w:after="0" w:line="261" w:lineRule="auto"/>
        <w:rPr>
          <w:sz w:val="20"/>
          <w:szCs w:val="20"/>
          <w:color w:val="auto"/>
        </w:rPr>
      </w:pPr>
      <w:r>
        <w:rPr>
          <w:rFonts w:ascii="Arial" w:cs="Arial" w:eastAsia="Arial" w:hAnsi="Arial"/>
          <w:sz w:val="15"/>
          <w:szCs w:val="15"/>
          <w:color w:val="auto"/>
        </w:rPr>
        <w:t>For the year ended April 30, 2014, gross margin and the gross margin rate decreased from that of the prior fiscal year. Several factors contributed to the fiscal year 2014 result, including higher than anticipated engineering design and production costs both at FEI-NY and Gillam-FEI and lower sales volume at FEI-Zyfer which increased unabsorbed overhead costs at that reporting segment. Increased costs related to improving production capacity to meet expected future demand at FEI-NY plus inventory write downs of approximately $500,000 as well as differing product mix also impacted gross margin rates.</w:t>
      </w:r>
    </w:p>
    <w:p>
      <w:pPr>
        <w:spacing w:after="0" w:line="305"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520"/>
          </w:cols>
          <w:pgMar w:left="240" w:top="124" w:right="139" w:bottom="1440" w:gutter="0" w:footer="0" w:header="0"/>
        </w:sectPr>
      </w:pPr>
    </w:p>
    <w:bookmarkStart w:id="16" w:name="page17"/>
    <w:bookmarkEnd w:id="16"/>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firstLine="408"/>
        <w:spacing w:after="0" w:line="257" w:lineRule="auto"/>
        <w:rPr>
          <w:sz w:val="20"/>
          <w:szCs w:val="20"/>
          <w:color w:val="auto"/>
        </w:rPr>
      </w:pPr>
      <w:r>
        <w:rPr>
          <w:rFonts w:ascii="Arial" w:cs="Arial" w:eastAsia="Arial" w:hAnsi="Arial"/>
          <w:sz w:val="15"/>
          <w:szCs w:val="15"/>
          <w:color w:val="auto"/>
        </w:rPr>
        <w:t>For the year ended April 30, 2013 gross margin was reduced by $1.4 million (2% of consolidated revenues) as a result of the write down of certain inventory recorded in the Gillam-FEI segment due to lack of certainty regarding the realizability of such inventory. Based on slower than anticipated rollout of implementation of the French government’s plans to initiate a “smart grid,” the Company has less visibility regarding the probable schedule for obtaining production-level orders which are now anticipated to occur no earlier than fiscal year 2015. Improved gross margins from satellite payload revenues in the FEI-NY segment were offset by historically lower gross margins at FEI-Elcom. Gross margin rates in the FEI-Zyfer and Gillam-FEI segments were also lower on reduced sales. During the fiscal year ended April 30, 2013, cost of sales included approximately $2.4 million of inventory write downs, including the Gillam-FEI inventory write down, which reduced gross margin rates by 3.4% in fiscal year 2013.</w:t>
      </w:r>
    </w:p>
    <w:p>
      <w:pPr>
        <w:spacing w:after="0" w:line="185" w:lineRule="exact"/>
        <w:rPr>
          <w:sz w:val="20"/>
          <w:szCs w:val="20"/>
          <w:color w:val="auto"/>
        </w:rPr>
      </w:pPr>
    </w:p>
    <w:p>
      <w:pPr>
        <w:ind w:right="20" w:firstLine="408"/>
        <w:spacing w:after="0" w:line="277" w:lineRule="auto"/>
        <w:rPr>
          <w:sz w:val="20"/>
          <w:szCs w:val="20"/>
          <w:color w:val="auto"/>
        </w:rPr>
      </w:pPr>
      <w:r>
        <w:rPr>
          <w:rFonts w:ascii="Arial" w:cs="Arial" w:eastAsia="Arial" w:hAnsi="Arial"/>
          <w:sz w:val="15"/>
          <w:szCs w:val="15"/>
          <w:color w:val="auto"/>
        </w:rPr>
        <w:t>Taking into consideration only the current mix of programs and orders in its backlog, the Company expects its fiscal year 2015 gross margin rate to be less than its target rate of 40%. As revenues increase in future periods, the Company expects to realize a higher gross margin as more of its fixed costs are covered.</w:t>
      </w:r>
    </w:p>
    <w:p>
      <w:pPr>
        <w:spacing w:after="0" w:line="165"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Selling and Administrative Expenses</w:t>
      </w:r>
    </w:p>
    <w:p>
      <w:pPr>
        <w:spacing w:after="0" w:line="213" w:lineRule="exact"/>
        <w:rPr>
          <w:sz w:val="20"/>
          <w:szCs w:val="20"/>
          <w:color w:val="auto"/>
        </w:rPr>
      </w:pPr>
    </w:p>
    <w:p>
      <w:pPr>
        <w:ind w:left="5840"/>
        <w:spacing w:after="0"/>
        <w:rPr>
          <w:sz w:val="20"/>
          <w:szCs w:val="20"/>
          <w:color w:val="auto"/>
        </w:rPr>
      </w:pPr>
      <w:r>
        <w:rPr>
          <w:rFonts w:ascii="Arial" w:cs="Arial" w:eastAsia="Arial" w:hAnsi="Arial"/>
          <w:sz w:val="15"/>
          <w:szCs w:val="15"/>
          <w:b w:val="1"/>
          <w:bCs w:val="1"/>
          <w:color w:val="auto"/>
        </w:rPr>
        <w:t>Fiscal years ended April 30,</w:t>
      </w:r>
    </w:p>
    <w:p>
      <w:pPr>
        <w:spacing w:after="0" w:line="22" w:lineRule="exact"/>
        <w:rPr>
          <w:sz w:val="20"/>
          <w:szCs w:val="20"/>
          <w:color w:val="auto"/>
        </w:rPr>
      </w:pPr>
    </w:p>
    <w:p>
      <w:pPr>
        <w:ind w:left="6220"/>
        <w:spacing w:after="0"/>
        <w:rPr>
          <w:sz w:val="20"/>
          <w:szCs w:val="20"/>
          <w:color w:val="auto"/>
        </w:rPr>
      </w:pPr>
      <w:r>
        <w:rPr>
          <w:rFonts w:ascii="Arial" w:cs="Arial" w:eastAsia="Arial" w:hAnsi="Arial"/>
          <w:sz w:val="15"/>
          <w:szCs w:val="15"/>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224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ind w:left="900"/>
              <w:spacing w:after="0"/>
              <w:rPr>
                <w:sz w:val="20"/>
                <w:szCs w:val="20"/>
                <w:color w:val="auto"/>
              </w:rPr>
            </w:pPr>
            <w:r>
              <w:rPr>
                <w:rFonts w:ascii="Arial" w:cs="Arial" w:eastAsia="Arial" w:hAnsi="Arial"/>
                <w:sz w:val="15"/>
                <w:szCs w:val="15"/>
                <w:b w:val="1"/>
                <w:bCs w:val="1"/>
                <w:color w:val="auto"/>
              </w:rPr>
              <w:t>Change</w:t>
            </w:r>
          </w:p>
        </w:tc>
        <w:tc>
          <w:tcPr>
            <w:tcW w:w="1020" w:type="dxa"/>
            <w:vAlign w:val="bottom"/>
            <w:tcBorders>
              <w:top w:val="single" w:sz="8" w:color="auto"/>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84"/>
        </w:trPr>
        <w:tc>
          <w:tcPr>
            <w:tcW w:w="2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spacing w:after="0"/>
              <w:rPr>
                <w:sz w:val="16"/>
                <w:szCs w:val="16"/>
                <w:color w:val="auto"/>
              </w:rPr>
            </w:pPr>
          </w:p>
        </w:tc>
      </w:tr>
      <w:tr>
        <w:trPr>
          <w:trHeight w:val="204"/>
        </w:trPr>
        <w:tc>
          <w:tcPr>
            <w:tcW w:w="25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14,064</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14,704</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(640)</w:t>
            </w:r>
          </w:p>
        </w:tc>
        <w:tc>
          <w:tcPr>
            <w:tcW w:w="40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(4%)</w:t>
            </w:r>
          </w:p>
        </w:tc>
      </w:tr>
    </w:tbl>
    <w:p>
      <w:pPr>
        <w:spacing w:after="0" w:line="171"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In the fiscal years ended April 30, 2014 and 2013, selling and administrative costs were 20% and 21%, respectively, of consolidated revenues. Fiscal year 2014 incentive compensation expense decreased from the prior year due to reduced operating profits. Selling costs were also lower but partially offset by increased deferred compensation costs. For the years ended April 30, 2014 and 2013, selling and administrative expenses include stock compensation expense of $676,000 and $537,000, respectively. The Company expects fiscal year 2015 selling and administrative expenses to be incurred at approximately the same rate relative to revenues.</w:t>
      </w:r>
    </w:p>
    <w:p>
      <w:pPr>
        <w:spacing w:after="0" w:line="176"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Research and Development Expenses</w:t>
      </w:r>
    </w:p>
    <w:p>
      <w:pPr>
        <w:spacing w:after="0" w:line="213" w:lineRule="exact"/>
        <w:rPr>
          <w:sz w:val="20"/>
          <w:szCs w:val="20"/>
          <w:color w:val="auto"/>
        </w:rPr>
      </w:pPr>
    </w:p>
    <w:p>
      <w:pPr>
        <w:ind w:left="5880"/>
        <w:spacing w:after="0"/>
        <w:rPr>
          <w:sz w:val="20"/>
          <w:szCs w:val="20"/>
          <w:color w:val="auto"/>
        </w:rPr>
      </w:pPr>
      <w:r>
        <w:rPr>
          <w:rFonts w:ascii="Arial" w:cs="Arial" w:eastAsia="Arial" w:hAnsi="Arial"/>
          <w:sz w:val="15"/>
          <w:szCs w:val="15"/>
          <w:b w:val="1"/>
          <w:bCs w:val="1"/>
          <w:color w:val="auto"/>
        </w:rPr>
        <w:t>Fiscal years ended April 30,</w:t>
      </w:r>
    </w:p>
    <w:p>
      <w:pPr>
        <w:spacing w:after="0" w:line="22" w:lineRule="exact"/>
        <w:rPr>
          <w:sz w:val="20"/>
          <w:szCs w:val="20"/>
          <w:color w:val="auto"/>
        </w:rPr>
      </w:pPr>
    </w:p>
    <w:p>
      <w:pPr>
        <w:ind w:left="6240"/>
        <w:spacing w:after="0"/>
        <w:rPr>
          <w:sz w:val="20"/>
          <w:szCs w:val="20"/>
          <w:color w:val="auto"/>
        </w:rPr>
      </w:pPr>
      <w:r>
        <w:rPr>
          <w:rFonts w:ascii="Arial" w:cs="Arial" w:eastAsia="Arial" w:hAnsi="Arial"/>
          <w:sz w:val="15"/>
          <w:szCs w:val="15"/>
          <w:b w:val="1"/>
          <w:bCs w:val="1"/>
          <w:color w:val="auto"/>
        </w:rPr>
        <w:t>(in thousands)</w:t>
      </w:r>
    </w:p>
    <w:p>
      <w:pPr>
        <w:spacing w:after="0" w:line="9" w:lineRule="exact"/>
        <w:rPr>
          <w:sz w:val="20"/>
          <w:szCs w:val="20"/>
          <w:color w:val="auto"/>
        </w:rPr>
      </w:pPr>
    </w:p>
    <w:tbl>
      <w:tblPr>
        <w:tblLayout w:type="fixed"/>
        <w:tblInd w:w="1440" w:type="dxa"/>
        <w:tblCellMar>
          <w:top w:w="0" w:type="dxa"/>
          <w:left w:w="0" w:type="dxa"/>
          <w:bottom w:w="0" w:type="dxa"/>
          <w:right w:w="0" w:type="dxa"/>
        </w:tblCellMar>
      </w:tblPr>
      <w:tr>
        <w:trPr>
          <w:trHeight w:val="188"/>
        </w:trPr>
        <w:tc>
          <w:tcPr>
            <w:tcW w:w="226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620" w:type="dxa"/>
            <w:vAlign w:val="bottom"/>
            <w:tcBorders>
              <w:top w:val="single" w:sz="8" w:color="auto"/>
              <w:bottom w:val="single" w:sz="8" w:color="auto"/>
            </w:tcBorders>
            <w:gridSpan w:val="3"/>
          </w:tcPr>
          <w:p>
            <w:pPr>
              <w:ind w:left="900"/>
              <w:spacing w:after="0"/>
              <w:rPr>
                <w:sz w:val="20"/>
                <w:szCs w:val="20"/>
                <w:color w:val="auto"/>
              </w:rPr>
            </w:pPr>
            <w:r>
              <w:rPr>
                <w:rFonts w:ascii="Arial" w:cs="Arial" w:eastAsia="Arial" w:hAnsi="Arial"/>
                <w:sz w:val="15"/>
                <w:szCs w:val="15"/>
                <w:b w:val="1"/>
                <w:bCs w:val="1"/>
                <w:color w:val="auto"/>
              </w:rPr>
              <w:t>Change</w:t>
            </w:r>
          </w:p>
        </w:tc>
        <w:tc>
          <w:tcPr>
            <w:tcW w:w="102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2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2013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r>
      <w:tr>
        <w:trPr>
          <w:trHeight w:val="204"/>
        </w:trPr>
        <w:tc>
          <w:tcPr>
            <w:tcW w:w="25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5,813</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5,727</w:t>
            </w: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2%</w:t>
            </w:r>
          </w:p>
        </w:tc>
      </w:tr>
    </w:tbl>
    <w:p>
      <w:pPr>
        <w:spacing w:after="0" w:line="171" w:lineRule="exact"/>
        <w:rPr>
          <w:sz w:val="20"/>
          <w:szCs w:val="20"/>
          <w:color w:val="auto"/>
        </w:rPr>
      </w:pPr>
    </w:p>
    <w:p>
      <w:pPr>
        <w:jc w:val="both"/>
        <w:ind w:right="20" w:firstLine="408"/>
        <w:spacing w:after="0" w:line="275" w:lineRule="auto"/>
        <w:rPr>
          <w:sz w:val="20"/>
          <w:szCs w:val="20"/>
          <w:color w:val="auto"/>
        </w:rPr>
      </w:pPr>
      <w:r>
        <w:rPr>
          <w:rFonts w:ascii="Arial" w:cs="Arial" w:eastAsia="Arial" w:hAnsi="Arial"/>
          <w:sz w:val="14"/>
          <w:szCs w:val="14"/>
          <w:color w:val="auto"/>
        </w:rPr>
        <w:t>Research and development (“R&amp;D”) expenditures represent investments intended to keep the Company’s products at the leading edge of time and frequency technology and enhance competitiveness for future revenues. As a percentage of consolidated revenue, R&amp;D spending for the years ended April 30, 2014 and 2013 was approximately 8% each year. In fiscal year 2014, the Company continued the accelerated level of development that began in fiscal year 2013 of new satellite payload microwave receivers/converters from DC to Ka band. These satellite payload products are anticipated to be available for customer evaluation and new contract awards in early fiscal year 2015. In addition to the satellite payload products, internal R&amp;D spending includes development and improvement of quartz-based and rubidium atomic clocks, development of new GPS-based synchronization products and further enhancement of the capabilities of the Company’s line of low g-sensitivity and ruggedized rubidium oscillators. The Company also continued to engage in customer-funded development activity the cost of which appears in cost of revenues, thus reducing the level of internal R&amp;D spending. Although funding is obtained from customers, the Company retains the rights to any products developed. The Company will continue to devote significant resources to develop new products, enhance existing products and implement efficient manufacturing processes. For fiscal year 2015, the Company anticipates that internal research and development spending will be less than 10% of revenues. The Company believes that internally generated cash and cash reserves are adequate to fund these development efforts.</w:t>
      </w:r>
    </w:p>
    <w:p>
      <w:pPr>
        <w:spacing w:after="0" w:line="299"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17" w:name="page18"/>
    <w:bookmarkEnd w:id="1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Operating Profit</w:t>
      </w:r>
    </w:p>
    <w:p>
      <w:pPr>
        <w:spacing w:after="0" w:line="191" w:lineRule="exact"/>
        <w:rPr>
          <w:sz w:val="20"/>
          <w:szCs w:val="20"/>
          <w:color w:val="auto"/>
        </w:rPr>
      </w:pPr>
    </w:p>
    <w:tbl>
      <w:tblPr>
        <w:tblLayout w:type="fixed"/>
        <w:tblInd w:w="200" w:type="dxa"/>
        <w:tblCellMar>
          <w:top w:w="0" w:type="dxa"/>
          <w:left w:w="0" w:type="dxa"/>
          <w:bottom w:w="0" w:type="dxa"/>
          <w:right w:w="0" w:type="dxa"/>
        </w:tblCellMar>
      </w:tblPr>
      <w:tr>
        <w:trPr>
          <w:trHeight w:val="182"/>
        </w:trPr>
        <w:tc>
          <w:tcPr>
            <w:tcW w:w="1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gridSpan w:val="3"/>
          </w:tcPr>
          <w:p>
            <w:pPr>
              <w:ind w:left="40"/>
              <w:spacing w:after="0"/>
              <w:rPr>
                <w:sz w:val="20"/>
                <w:szCs w:val="20"/>
                <w:color w:val="auto"/>
              </w:rPr>
            </w:pPr>
            <w:r>
              <w:rPr>
                <w:rFonts w:ascii="Arial" w:cs="Arial" w:eastAsia="Arial" w:hAnsi="Arial"/>
                <w:sz w:val="15"/>
                <w:szCs w:val="15"/>
                <w:b w:val="1"/>
                <w:bCs w:val="1"/>
                <w:color w:val="auto"/>
              </w:rPr>
              <w:t>Fiscal years ended April 30,</w:t>
            </w: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199"/>
        </w:trPr>
        <w:tc>
          <w:tcPr>
            <w:tcW w:w="118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gridSpan w:val="3"/>
          </w:tcPr>
          <w:p>
            <w:pPr>
              <w:ind w:left="400"/>
              <w:spacing w:after="0"/>
              <w:rPr>
                <w:sz w:val="20"/>
                <w:szCs w:val="20"/>
                <w:color w:val="auto"/>
              </w:rPr>
            </w:pPr>
            <w:r>
              <w:rPr>
                <w:rFonts w:ascii="Arial" w:cs="Arial" w:eastAsia="Arial" w:hAnsi="Arial"/>
                <w:sz w:val="15"/>
                <w:szCs w:val="15"/>
                <w:b w:val="1"/>
                <w:bCs w:val="1"/>
                <w:color w:val="auto"/>
              </w:rPr>
              <w:t>(in thousands)</w:t>
            </w:r>
          </w:p>
        </w:tc>
        <w:tc>
          <w:tcPr>
            <w:tcW w:w="4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84"/>
        </w:trPr>
        <w:tc>
          <w:tcPr>
            <w:tcW w:w="1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2"/>
          </w:tcPr>
          <w:p>
            <w:pPr>
              <w:jc w:val="right"/>
              <w:ind w:right="1564"/>
              <w:spacing w:after="0"/>
              <w:rPr>
                <w:sz w:val="20"/>
                <w:szCs w:val="20"/>
                <w:color w:val="auto"/>
              </w:rPr>
            </w:pPr>
            <w:r>
              <w:rPr>
                <w:rFonts w:ascii="Arial" w:cs="Arial" w:eastAsia="Arial" w:hAnsi="Arial"/>
                <w:sz w:val="15"/>
                <w:szCs w:val="15"/>
                <w:b w:val="1"/>
                <w:bCs w:val="1"/>
                <w:color w:val="auto"/>
              </w:rPr>
              <w:t>Change</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184"/>
        </w:trPr>
        <w:tc>
          <w:tcPr>
            <w:tcW w:w="1180" w:type="dxa"/>
            <w:vAlign w:val="bottom"/>
          </w:tcPr>
          <w:p>
            <w:pPr>
              <w:spacing w:after="0"/>
              <w:rPr>
                <w:sz w:val="16"/>
                <w:szCs w:val="16"/>
                <w:color w:val="auto"/>
              </w:rPr>
            </w:pPr>
          </w:p>
        </w:tc>
        <w:tc>
          <w:tcPr>
            <w:tcW w:w="104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2014</w:t>
            </w:r>
          </w:p>
        </w:tc>
        <w:tc>
          <w:tcPr>
            <w:tcW w:w="48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2013</w:t>
            </w:r>
          </w:p>
        </w:tc>
        <w:tc>
          <w:tcPr>
            <w:tcW w:w="54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304"/>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20" w:type="dxa"/>
            <w:vAlign w:val="bottom"/>
            <w:tcBorders>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w:t>
            </w: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r>
      <w:tr>
        <w:trPr>
          <w:trHeight w:val="204"/>
        </w:trPr>
        <w:tc>
          <w:tcPr>
            <w:tcW w:w="2220" w:type="dxa"/>
            <w:vAlign w:val="bottom"/>
            <w:gridSpan w:val="2"/>
            <w:shd w:val="clear" w:color="auto" w:fill="CCEEFF"/>
          </w:tcPr>
          <w:p>
            <w:pPr>
              <w:jc w:val="right"/>
              <w:ind w:right="344"/>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1180"/>
              <w:spacing w:after="0"/>
              <w:rPr>
                <w:sz w:val="20"/>
                <w:szCs w:val="20"/>
                <w:color w:val="auto"/>
              </w:rPr>
            </w:pPr>
            <w:r>
              <w:rPr>
                <w:rFonts w:ascii="Arial" w:cs="Arial" w:eastAsia="Arial" w:hAnsi="Arial"/>
                <w:sz w:val="15"/>
                <w:szCs w:val="15"/>
                <w:color w:val="auto"/>
              </w:rPr>
              <w:t>4,873</w:t>
            </w:r>
          </w:p>
        </w:tc>
        <w:tc>
          <w:tcPr>
            <w:tcW w:w="96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rPr>
              <w:t>$</w:t>
            </w:r>
          </w:p>
        </w:tc>
        <w:tc>
          <w:tcPr>
            <w:tcW w:w="1720" w:type="dxa"/>
            <w:vAlign w:val="bottom"/>
            <w:gridSpan w:val="2"/>
            <w:shd w:val="clear" w:color="auto" w:fill="CCEEFF"/>
          </w:tcPr>
          <w:p>
            <w:pPr>
              <w:jc w:val="right"/>
              <w:ind w:right="1180"/>
              <w:spacing w:after="0"/>
              <w:rPr>
                <w:sz w:val="20"/>
                <w:szCs w:val="20"/>
                <w:color w:val="auto"/>
              </w:rPr>
            </w:pPr>
            <w:r>
              <w:rPr>
                <w:rFonts w:ascii="Arial" w:cs="Arial" w:eastAsia="Arial" w:hAnsi="Arial"/>
                <w:sz w:val="15"/>
                <w:szCs w:val="15"/>
                <w:color w:val="auto"/>
              </w:rPr>
              <w:t>4,679</w:t>
            </w:r>
          </w:p>
        </w:tc>
        <w:tc>
          <w:tcPr>
            <w:tcW w:w="3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194</w:t>
            </w:r>
          </w:p>
        </w:tc>
        <w:tc>
          <w:tcPr>
            <w:tcW w:w="2540" w:type="dxa"/>
            <w:vAlign w:val="bottom"/>
            <w:gridSpan w:val="3"/>
            <w:shd w:val="clear" w:color="auto" w:fill="CCEEFF"/>
          </w:tcPr>
          <w:p>
            <w:pPr>
              <w:jc w:val="right"/>
              <w:ind w:right="260"/>
              <w:spacing w:after="0"/>
              <w:rPr>
                <w:sz w:val="20"/>
                <w:szCs w:val="20"/>
                <w:color w:val="auto"/>
              </w:rPr>
            </w:pPr>
            <w:r>
              <w:rPr>
                <w:rFonts w:ascii="Arial" w:cs="Arial" w:eastAsia="Arial" w:hAnsi="Arial"/>
                <w:sz w:val="15"/>
                <w:szCs w:val="15"/>
                <w:color w:val="auto"/>
              </w:rPr>
              <w:t>4</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194"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For the year ended April 30, 2014, operating profit increased over the prior year due to lower selling, general and administrative expenses as described above, partially offset by lower gross margin and higher R&amp;D spending. As in the prior year, the FEI-NY segment where the Company’s satellite payload contracts are performed, accounted for all of fiscal year 2014’s operating profit. The Company’s other two segments, FEI-Zyfer and Gillam-FEI, both incurred operating losses on lower sales volume.</w:t>
      </w:r>
    </w:p>
    <w:p>
      <w:pPr>
        <w:spacing w:after="0" w:line="177"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For the year ended April 30, 2013, operating profit was reduced by the $1.4 million inventory write down in the Gillam-FEI segment, higher selling and administrative costs and increased R&amp;D spending. All of the fiscal year 2013 operating profit was generated by the FEI-NY segment which enjoyed the benefit of rising satellite payload revenues. The Company’s other segments, FEI-Zyfer and Gillam-FEI, both incurred operating losses on reduced revenues, higher costs and the inventory write down.</w:t>
      </w:r>
    </w:p>
    <w:p>
      <w:pPr>
        <w:spacing w:after="0" w:line="17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On anticipated increased revenues and favorable product mix, the Company expects to realize an improved gross margin while maintaining other operating expenses within their targeted amounts. Thus, the Company expects to report higher operating profits in fiscal year 2015.</w:t>
      </w:r>
    </w:p>
    <w:p>
      <w:pPr>
        <w:spacing w:after="0" w:line="155" w:lineRule="exact"/>
        <w:rPr>
          <w:sz w:val="20"/>
          <w:szCs w:val="20"/>
          <w:color w:val="auto"/>
        </w:rPr>
      </w:pPr>
    </w:p>
    <w:tbl>
      <w:tblPr>
        <w:tblLayout w:type="fixed"/>
        <w:tblInd w:w="400" w:type="dxa"/>
        <w:tblCellMar>
          <w:top w:w="0" w:type="dxa"/>
          <w:left w:w="0" w:type="dxa"/>
          <w:bottom w:w="0" w:type="dxa"/>
          <w:right w:w="0" w:type="dxa"/>
        </w:tblCellMar>
      </w:tblPr>
      <w:tr>
        <w:trPr>
          <w:trHeight w:val="172"/>
        </w:trPr>
        <w:tc>
          <w:tcPr>
            <w:tcW w:w="3020" w:type="dxa"/>
            <w:vAlign w:val="bottom"/>
            <w:gridSpan w:val="3"/>
          </w:tcPr>
          <w:p>
            <w:pPr>
              <w:spacing w:after="0"/>
              <w:rPr>
                <w:sz w:val="20"/>
                <w:szCs w:val="20"/>
                <w:color w:val="auto"/>
              </w:rPr>
            </w:pPr>
            <w:r>
              <w:rPr>
                <w:rFonts w:ascii="Arial" w:cs="Arial" w:eastAsia="Arial" w:hAnsi="Arial"/>
                <w:sz w:val="15"/>
                <w:szCs w:val="15"/>
                <w:b w:val="1"/>
                <w:bCs w:val="1"/>
                <w:color w:val="auto"/>
              </w:rPr>
              <w:t>Other Income (Expense)</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62"/>
        </w:trPr>
        <w:tc>
          <w:tcPr>
            <w:tcW w:w="10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60" w:type="dxa"/>
            <w:vAlign w:val="bottom"/>
            <w:gridSpan w:val="7"/>
          </w:tcPr>
          <w:p>
            <w:pPr>
              <w:ind w:left="320"/>
              <w:spacing w:after="0"/>
              <w:rPr>
                <w:sz w:val="20"/>
                <w:szCs w:val="20"/>
                <w:color w:val="auto"/>
              </w:rPr>
            </w:pPr>
            <w:r>
              <w:rPr>
                <w:rFonts w:ascii="Arial" w:cs="Arial" w:eastAsia="Arial" w:hAnsi="Arial"/>
                <w:sz w:val="15"/>
                <w:szCs w:val="15"/>
                <w:b w:val="1"/>
                <w:bCs w:val="1"/>
                <w:color w:val="auto"/>
              </w:rPr>
              <w:t>Fiscal years ended April 30,</w:t>
            </w: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99"/>
        </w:trPr>
        <w:tc>
          <w:tcPr>
            <w:tcW w:w="10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5"/>
                <w:szCs w:val="15"/>
                <w:b w:val="1"/>
                <w:bCs w:val="1"/>
                <w:color w:val="auto"/>
              </w:rPr>
              <w:t>(in thousands)</w:t>
            </w:r>
          </w:p>
        </w:tc>
        <w:tc>
          <w:tcPr>
            <w:tcW w:w="8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4"/>
        </w:trPr>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740"/>
              <w:spacing w:after="0"/>
              <w:rPr>
                <w:sz w:val="20"/>
                <w:szCs w:val="20"/>
                <w:color w:val="auto"/>
              </w:rPr>
            </w:pPr>
            <w:r>
              <w:rPr>
                <w:rFonts w:ascii="Arial" w:cs="Arial" w:eastAsia="Arial" w:hAnsi="Arial"/>
                <w:sz w:val="15"/>
                <w:szCs w:val="15"/>
                <w:b w:val="1"/>
                <w:bCs w:val="1"/>
                <w:color w:val="auto"/>
              </w:rPr>
              <w:t>Change</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58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r>
      <w:tr>
        <w:trPr>
          <w:trHeight w:val="182"/>
        </w:trPr>
        <w:tc>
          <w:tcPr>
            <w:tcW w:w="1040" w:type="dxa"/>
            <w:vAlign w:val="bottom"/>
          </w:tcPr>
          <w:p>
            <w:pPr>
              <w:spacing w:after="0"/>
              <w:rPr>
                <w:sz w:val="15"/>
                <w:szCs w:val="15"/>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Investment income</w:t>
            </w:r>
          </w:p>
        </w:tc>
        <w:tc>
          <w:tcPr>
            <w:tcW w:w="5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880</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12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440"/>
              <w:spacing w:after="0"/>
              <w:rPr>
                <w:sz w:val="20"/>
                <w:szCs w:val="20"/>
                <w:color w:val="auto"/>
              </w:rPr>
            </w:pPr>
            <w:r>
              <w:rPr>
                <w:rFonts w:ascii="Arial" w:cs="Arial" w:eastAsia="Arial" w:hAnsi="Arial"/>
                <w:sz w:val="15"/>
                <w:szCs w:val="15"/>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209</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31%</w:t>
            </w:r>
          </w:p>
        </w:tc>
      </w:tr>
      <w:tr>
        <w:trPr>
          <w:trHeight w:val="182"/>
        </w:trPr>
        <w:tc>
          <w:tcPr>
            <w:tcW w:w="1040" w:type="dxa"/>
            <w:vAlign w:val="bottom"/>
          </w:tcPr>
          <w:p>
            <w:pPr>
              <w:spacing w:after="0"/>
              <w:rPr>
                <w:sz w:val="15"/>
                <w:szCs w:val="15"/>
                <w:color w:val="auto"/>
              </w:rPr>
            </w:pPr>
          </w:p>
        </w:tc>
        <w:tc>
          <w:tcPr>
            <w:tcW w:w="1980" w:type="dxa"/>
            <w:vAlign w:val="bottom"/>
            <w:gridSpan w:val="2"/>
          </w:tcPr>
          <w:p>
            <w:pPr>
              <w:spacing w:after="0"/>
              <w:rPr>
                <w:sz w:val="20"/>
                <w:szCs w:val="20"/>
                <w:color w:val="auto"/>
              </w:rPr>
            </w:pPr>
            <w:r>
              <w:rPr>
                <w:rFonts w:ascii="Arial" w:cs="Arial" w:eastAsia="Arial" w:hAnsi="Arial"/>
                <w:sz w:val="15"/>
                <w:szCs w:val="15"/>
                <w:color w:val="auto"/>
              </w:rPr>
              <w:t>Interest expense</w:t>
            </w: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5"/>
                <w:szCs w:val="15"/>
                <w:color w:val="auto"/>
              </w:rPr>
              <w:t>(156)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5"/>
                <w:szCs w:val="15"/>
                <w:color w:val="auto"/>
              </w:rPr>
              <w:t>(195)</w:t>
            </w: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39</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20%</w:t>
            </w:r>
          </w:p>
        </w:tc>
      </w:tr>
      <w:tr>
        <w:trPr>
          <w:trHeight w:val="182"/>
        </w:trPr>
        <w:tc>
          <w:tcPr>
            <w:tcW w:w="1040" w:type="dxa"/>
            <w:vAlign w:val="bottom"/>
          </w:tcPr>
          <w:p>
            <w:pPr>
              <w:spacing w:after="0"/>
              <w:rPr>
                <w:sz w:val="15"/>
                <w:szCs w:val="15"/>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Other income (expense), net</w:t>
            </w:r>
          </w:p>
        </w:tc>
        <w:tc>
          <w:tcPr>
            <w:tcW w:w="2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703</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(69)</w:t>
            </w:r>
          </w:p>
        </w:tc>
        <w:tc>
          <w:tcPr>
            <w:tcW w:w="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772</w:t>
            </w: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NM</w:t>
            </w:r>
          </w:p>
        </w:tc>
      </w:tr>
      <w:tr>
        <w:trPr>
          <w:trHeight w:val="23"/>
        </w:trPr>
        <w:tc>
          <w:tcPr>
            <w:tcW w:w="1040" w:type="dxa"/>
            <w:vAlign w:val="bottom"/>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1"/>
        </w:trPr>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60" w:type="dxa"/>
            <w:vAlign w:val="bottom"/>
          </w:tcPr>
          <w:p>
            <w:pPr>
              <w:jc w:val="right"/>
              <w:spacing w:after="0"/>
              <w:rPr>
                <w:sz w:val="20"/>
                <w:szCs w:val="20"/>
                <w:color w:val="auto"/>
              </w:rPr>
            </w:pPr>
            <w:r>
              <w:rPr>
                <w:rFonts w:ascii="Arial" w:cs="Arial" w:eastAsia="Arial" w:hAnsi="Arial"/>
                <w:sz w:val="15"/>
                <w:szCs w:val="15"/>
                <w:color w:val="auto"/>
              </w:rPr>
              <w:t>1,427</w:t>
            </w:r>
          </w:p>
        </w:tc>
        <w:tc>
          <w:tcPr>
            <w:tcW w:w="120" w:type="dxa"/>
            <w:vAlign w:val="bottom"/>
          </w:tcPr>
          <w:p>
            <w:pPr>
              <w:spacing w:after="0"/>
              <w:rPr>
                <w:sz w:val="16"/>
                <w:szCs w:val="16"/>
                <w:color w:val="auto"/>
              </w:rPr>
            </w:pPr>
          </w:p>
        </w:tc>
        <w:tc>
          <w:tcPr>
            <w:tcW w:w="38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tcPr>
          <w:p>
            <w:pPr>
              <w:jc w:val="right"/>
              <w:spacing w:after="0"/>
              <w:rPr>
                <w:sz w:val="20"/>
                <w:szCs w:val="20"/>
                <w:color w:val="auto"/>
              </w:rPr>
            </w:pPr>
            <w:r>
              <w:rPr>
                <w:rFonts w:ascii="Arial" w:cs="Arial" w:eastAsia="Arial" w:hAnsi="Arial"/>
                <w:sz w:val="15"/>
                <w:szCs w:val="15"/>
                <w:color w:val="auto"/>
              </w:rPr>
              <w:t>407</w:t>
            </w:r>
          </w:p>
        </w:tc>
        <w:tc>
          <w:tcPr>
            <w:tcW w:w="120" w:type="dxa"/>
            <w:vAlign w:val="bottom"/>
          </w:tcPr>
          <w:p>
            <w:pPr>
              <w:spacing w:after="0"/>
              <w:rPr>
                <w:sz w:val="16"/>
                <w:szCs w:val="16"/>
                <w:color w:val="auto"/>
              </w:rPr>
            </w:pPr>
          </w:p>
        </w:tc>
        <w:tc>
          <w:tcPr>
            <w:tcW w:w="600" w:type="dxa"/>
            <w:vAlign w:val="bottom"/>
            <w:gridSpan w:val="2"/>
          </w:tcPr>
          <w:p>
            <w:pPr>
              <w:jc w:val="right"/>
              <w:ind w:right="440"/>
              <w:spacing w:after="0"/>
              <w:rPr>
                <w:sz w:val="20"/>
                <w:szCs w:val="20"/>
                <w:color w:val="auto"/>
              </w:rPr>
            </w:pPr>
            <w:r>
              <w:rPr>
                <w:rFonts w:ascii="Arial" w:cs="Arial" w:eastAsia="Arial" w:hAnsi="Arial"/>
                <w:sz w:val="15"/>
                <w:szCs w:val="15"/>
                <w:color w:val="auto"/>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1,020</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5"/>
                <w:szCs w:val="15"/>
                <w:color w:val="auto"/>
              </w:rPr>
              <w:t>251%</w:t>
            </w:r>
          </w:p>
        </w:tc>
      </w:tr>
    </w:tbl>
    <w:p>
      <w:pPr>
        <w:spacing w:after="0" w:line="184"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Investment income is derived primarily from the Company’s holdings of marketable securities. Earnings on these securities may vary based on fluctuating dividend payout levels and interest rates and the timing of purchases or sales of securities. During fiscal years 2014 and 2013, investment income included gains upon the sale or redemption of marketable securities of approximately $367,000 and $47,000, respectively. During fiscal year 2015, the Company anticipates that investment income will be approximately the same as that earned in fiscal year 2014, depending on the yield and size of its investment portfolio.</w:t>
      </w:r>
    </w:p>
    <w:p>
      <w:pPr>
        <w:spacing w:after="0" w:line="180" w:lineRule="exact"/>
        <w:rPr>
          <w:sz w:val="20"/>
          <w:szCs w:val="20"/>
          <w:color w:val="auto"/>
        </w:rPr>
      </w:pPr>
    </w:p>
    <w:p>
      <w:pPr>
        <w:jc w:val="both"/>
        <w:ind w:firstLine="408"/>
        <w:spacing w:after="0" w:line="285" w:lineRule="auto"/>
        <w:rPr>
          <w:sz w:val="20"/>
          <w:szCs w:val="20"/>
          <w:color w:val="auto"/>
        </w:rPr>
      </w:pPr>
      <w:r>
        <w:rPr>
          <w:rFonts w:ascii="Arial" w:cs="Arial" w:eastAsia="Arial" w:hAnsi="Arial"/>
          <w:sz w:val="14"/>
          <w:szCs w:val="14"/>
          <w:color w:val="auto"/>
        </w:rPr>
        <w:t>In fiscal year 2014, interest expense was incurred on borrowings under the Company’s $25 million credit facility with a bank, on deferred compensation payments and capital leases for equipment. The new bank credit facility replaced the previous $9.3 million credit line against which the Company had borrowed approximately $6 million as of the end of fiscal year 2013. As a result of the new credit facility, the Company maintained a higher level of debt than in fiscal year 2013, but since the new credit facility carries a lower interest rate than the previous credit line, fiscal year 2014 interest expense was lower than that incurred in fiscal year 2013. Interest expense in future years will be dependent on interest rates in the U.S.</w:t>
      </w:r>
    </w:p>
    <w:p>
      <w:pPr>
        <w:spacing w:after="0" w:line="166"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Other income in fiscal year 2014 includes a $736,000 gain recognized upon the sale of certain manufacturing equipment to Morion, Inc. under the terms of a license agreement related to the Company’s rubidium oscillator production technology. (For more information regarding the Company’s investment in Morion see Note 10 to the Consolidated Financial Statements.) During the fiscal year 2013, other income consisted of insignificant non-operating expenses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18" w:name="page19"/>
    <w:bookmarkEnd w:id="1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Income Tax Provision</w:t>
      </w:r>
    </w:p>
    <w:p>
      <w:pPr>
        <w:spacing w:after="0" w:line="213" w:lineRule="exact"/>
        <w:rPr>
          <w:sz w:val="20"/>
          <w:szCs w:val="20"/>
          <w:color w:val="auto"/>
        </w:rPr>
      </w:pPr>
    </w:p>
    <w:p>
      <w:pPr>
        <w:jc w:val="center"/>
        <w:ind w:left="2100"/>
        <w:spacing w:after="0"/>
        <w:rPr>
          <w:sz w:val="20"/>
          <w:szCs w:val="20"/>
          <w:color w:val="auto"/>
        </w:rPr>
      </w:pPr>
      <w:r>
        <w:rPr>
          <w:rFonts w:ascii="Arial" w:cs="Arial" w:eastAsia="Arial" w:hAnsi="Arial"/>
          <w:sz w:val="15"/>
          <w:szCs w:val="15"/>
          <w:b w:val="1"/>
          <w:bCs w:val="1"/>
          <w:color w:val="auto"/>
        </w:rPr>
        <w:t>Fiscal years ended April 30,</w:t>
      </w:r>
    </w:p>
    <w:p>
      <w:pPr>
        <w:spacing w:after="0" w:line="22" w:lineRule="exact"/>
        <w:rPr>
          <w:sz w:val="20"/>
          <w:szCs w:val="20"/>
          <w:color w:val="auto"/>
        </w:rPr>
      </w:pPr>
    </w:p>
    <w:p>
      <w:pPr>
        <w:jc w:val="center"/>
        <w:ind w:left="2100"/>
        <w:spacing w:after="0"/>
        <w:rPr>
          <w:sz w:val="20"/>
          <w:szCs w:val="20"/>
          <w:color w:val="auto"/>
        </w:rPr>
      </w:pPr>
      <w:r>
        <w:rPr>
          <w:rFonts w:ascii="Arial" w:cs="Arial" w:eastAsia="Arial" w:hAnsi="Arial"/>
          <w:sz w:val="15"/>
          <w:szCs w:val="15"/>
          <w:b w:val="1"/>
          <w:bCs w:val="1"/>
          <w:color w:val="auto"/>
        </w:rPr>
        <w:t>(in thousands)</w:t>
      </w:r>
    </w:p>
    <w:p>
      <w:pPr>
        <w:spacing w:after="0" w:line="9" w:lineRule="exact"/>
        <w:rPr>
          <w:sz w:val="20"/>
          <w:szCs w:val="20"/>
          <w:color w:val="auto"/>
        </w:rPr>
      </w:pPr>
    </w:p>
    <w:tbl>
      <w:tblPr>
        <w:tblLayout w:type="fixed"/>
        <w:tblInd w:w="142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ind w:left="880"/>
              <w:spacing w:after="0"/>
              <w:rPr>
                <w:sz w:val="20"/>
                <w:szCs w:val="20"/>
                <w:color w:val="auto"/>
              </w:rPr>
            </w:pPr>
            <w:r>
              <w:rPr>
                <w:rFonts w:ascii="Arial" w:cs="Arial" w:eastAsia="Arial" w:hAnsi="Arial"/>
                <w:sz w:val="15"/>
                <w:szCs w:val="15"/>
                <w:b w:val="1"/>
                <w:bCs w:val="1"/>
                <w:color w:val="auto"/>
              </w:rPr>
              <w:t>Change</w:t>
            </w:r>
          </w:p>
        </w:tc>
        <w:tc>
          <w:tcPr>
            <w:tcW w:w="1000" w:type="dxa"/>
            <w:vAlign w:val="bottom"/>
            <w:tcBorders>
              <w:top w:val="single" w:sz="8" w:color="auto"/>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2013</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64"/>
              <w:spacing w:after="0"/>
              <w:rPr>
                <w:sz w:val="20"/>
                <w:szCs w:val="20"/>
                <w:color w:val="auto"/>
              </w:rPr>
            </w:pPr>
            <w:r>
              <w:rPr>
                <w:rFonts w:ascii="Arial" w:cs="Arial" w:eastAsia="Arial" w:hAnsi="Arial"/>
                <w:sz w:val="15"/>
                <w:szCs w:val="15"/>
                <w:b w:val="1"/>
                <w:bCs w:val="1"/>
                <w:color w:val="auto"/>
              </w:rPr>
              <w:t>$</w:t>
            </w:r>
          </w:p>
        </w:tc>
        <w:tc>
          <w:tcPr>
            <w:tcW w:w="2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544"/>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660" w:type="dxa"/>
            <w:vAlign w:val="bottom"/>
            <w:gridSpan w:val="2"/>
            <w:shd w:val="clear" w:color="auto" w:fill="CCEEFF"/>
          </w:tcPr>
          <w:p>
            <w:pPr>
              <w:jc w:val="right"/>
              <w:ind w:right="360"/>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2,260</w:t>
            </w:r>
          </w:p>
        </w:tc>
        <w:tc>
          <w:tcPr>
            <w:tcW w:w="18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20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280"/>
              <w:spacing w:after="0"/>
              <w:rPr>
                <w:sz w:val="20"/>
                <w:szCs w:val="20"/>
                <w:color w:val="auto"/>
              </w:rPr>
            </w:pPr>
            <w:r>
              <w:rPr>
                <w:rFonts w:ascii="Arial" w:cs="Arial" w:eastAsia="Arial" w:hAnsi="Arial"/>
                <w:sz w:val="15"/>
                <w:szCs w:val="15"/>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860</w:t>
            </w: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61%</w:t>
            </w:r>
          </w:p>
        </w:tc>
      </w:tr>
      <w:tr>
        <w:trPr>
          <w:trHeight w:val="362"/>
        </w:trPr>
        <w:tc>
          <w:tcPr>
            <w:tcW w:w="2680" w:type="dxa"/>
            <w:vAlign w:val="bottom"/>
            <w:gridSpan w:val="3"/>
          </w:tcPr>
          <w:p>
            <w:pPr>
              <w:jc w:val="right"/>
              <w:ind w:right="120"/>
              <w:spacing w:after="0"/>
              <w:rPr>
                <w:sz w:val="20"/>
                <w:szCs w:val="20"/>
                <w:color w:val="auto"/>
              </w:rPr>
            </w:pPr>
            <w:r>
              <w:rPr>
                <w:rFonts w:ascii="Arial" w:cs="Arial" w:eastAsia="Arial" w:hAnsi="Arial"/>
                <w:sz w:val="15"/>
                <w:szCs w:val="15"/>
                <w:color w:val="auto"/>
                <w:w w:val="91"/>
              </w:rPr>
              <w:t>Effective tax rate on pre-tax book income:</w:t>
            </w: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82"/>
        </w:trPr>
        <w:tc>
          <w:tcPr>
            <w:tcW w:w="20" w:type="dxa"/>
            <w:vAlign w:val="bottom"/>
          </w:tcPr>
          <w:p>
            <w:pPr>
              <w:spacing w:after="0"/>
              <w:rPr>
                <w:sz w:val="15"/>
                <w:szCs w:val="15"/>
                <w:color w:val="auto"/>
              </w:rPr>
            </w:pPr>
          </w:p>
        </w:tc>
        <w:tc>
          <w:tcPr>
            <w:tcW w:w="2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35.9%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27.5%</w:t>
            </w: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bl>
    <w:p>
      <w:pPr>
        <w:spacing w:after="0" w:line="194" w:lineRule="exact"/>
        <w:rPr>
          <w:sz w:val="20"/>
          <w:szCs w:val="20"/>
          <w:color w:val="auto"/>
        </w:rPr>
      </w:pPr>
    </w:p>
    <w:p>
      <w:pPr>
        <w:jc w:val="both"/>
        <w:ind w:right="20" w:firstLine="408"/>
        <w:spacing w:after="0" w:line="292" w:lineRule="auto"/>
        <w:rPr>
          <w:sz w:val="20"/>
          <w:szCs w:val="20"/>
          <w:color w:val="auto"/>
        </w:rPr>
      </w:pPr>
      <w:r>
        <w:rPr>
          <w:rFonts w:ascii="Arial" w:cs="Arial" w:eastAsia="Arial" w:hAnsi="Arial"/>
          <w:sz w:val="14"/>
          <w:szCs w:val="14"/>
          <w:color w:val="auto"/>
        </w:rPr>
        <w:t>For the year ended April 30, 2014, the effective tax rate on pre-tax income increased as a result of lower tax credits for the U.S. subsidiaries and losses at the Company’s foreign subsidiaries for which no tax benefit is currently available. During the year ended April 30, 2013, certain tax law changes were enacted which enabled the Company to obtain larger U.S. federal tax credits and nontaxable losses at foreign subsidiaries were less than that incurred in fiscal year 2014, thus reducing the Company’s effective tax rate on pre-tax income.</w:t>
      </w:r>
    </w:p>
    <w:p>
      <w:pPr>
        <w:spacing w:after="0" w:line="161"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The Company is subject to taxation in several countries. The statutory federal rates are 34% in the U.S., 33% in Europe and 25% in China. The Company utilizes the availability of research and development tax credits (“R&amp;D credit”) in the U.S. to lower its tax rate. The R&amp;D credit expired on December 31, 2013 and the U.S. Congress has yet to reinstate it. Thus, the Company is able to utilize the R&amp;D credit for only a portion of its fiscal year 2014 expenses. (See Note 13 to the Consolidated Financial Statements for a reconciliation of the actual tax benefit to the expected tax provision at the federal statutory rate.)</w:t>
      </w:r>
    </w:p>
    <w:p>
      <w:pPr>
        <w:spacing w:after="0" w:line="180" w:lineRule="exact"/>
        <w:rPr>
          <w:sz w:val="20"/>
          <w:szCs w:val="20"/>
          <w:color w:val="auto"/>
        </w:rPr>
      </w:pPr>
    </w:p>
    <w:p>
      <w:pPr>
        <w:jc w:val="both"/>
        <w:ind w:right="20" w:firstLine="408"/>
        <w:spacing w:after="0" w:line="261" w:lineRule="auto"/>
        <w:rPr>
          <w:sz w:val="20"/>
          <w:szCs w:val="20"/>
          <w:color w:val="auto"/>
        </w:rPr>
      </w:pPr>
      <w:r>
        <w:rPr>
          <w:rFonts w:ascii="Arial" w:cs="Arial" w:eastAsia="Arial" w:hAnsi="Arial"/>
          <w:sz w:val="15"/>
          <w:szCs w:val="15"/>
          <w:color w:val="auto"/>
        </w:rPr>
        <w:t>The Company’s European subsidiaries have available net operating loss (“NOL”) carryforwards of approximately $3.6 million to offset future taxable income. The associated deferred tax asset for the foreign subsidiary NOL is fully reserved by the deferred tax valuation allowance. These loss carryforwards have no expiration date. As a result of the acquisition of FEI-Elcom, the Company has a federal NOL carryforward of $5.6 million which may be applied in annually limited amounts to offset future U.S.-sourced taxable income over the next 18 years.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LIQUIDITY AND CAPITAL RESOURCES</w:t>
      </w:r>
    </w:p>
    <w:p>
      <w:pPr>
        <w:spacing w:after="0" w:line="217" w:lineRule="exact"/>
        <w:rPr>
          <w:sz w:val="20"/>
          <w:szCs w:val="20"/>
          <w:color w:val="auto"/>
        </w:rPr>
      </w:pPr>
    </w:p>
    <w:p>
      <w:pPr>
        <w:jc w:val="both"/>
        <w:ind w:right="20" w:firstLine="408"/>
        <w:spacing w:after="0" w:line="265" w:lineRule="auto"/>
        <w:rPr>
          <w:sz w:val="20"/>
          <w:szCs w:val="20"/>
          <w:color w:val="auto"/>
        </w:rPr>
      </w:pPr>
      <w:r>
        <w:rPr>
          <w:rFonts w:ascii="Arial" w:cs="Arial" w:eastAsia="Arial" w:hAnsi="Arial"/>
          <w:sz w:val="15"/>
          <w:szCs w:val="15"/>
          <w:color w:val="auto"/>
        </w:rPr>
        <w:t>The Company’s balance sheet continues to reflect a highly liquid position with working capital of $78.2 million at April 30, 2014. Included in working capital at April 30, 2014 is $23.7 million consisting of cash, cash equivalents and short-term investments. The Company’s current ratio at April 30, 2014 is 9.1 to 1 compared to 8.7 to 1 at the end of the prior fiscal year.</w:t>
      </w:r>
    </w:p>
    <w:p>
      <w:pPr>
        <w:spacing w:after="0" w:line="177"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Net cash provided by operating activities for the year ended April 30, 2014, was $3.6 million compared to $2.8 million for the prior fiscal year. During fiscal years 2014 and 2013, the Company incurred $3.8 million and $6.0 million, respectively, in non-cash charges to earnings, including depreciation and amortization expense, inventory write downs, warranty and accounts receivable reserves, certain employee benefit plan expenses, including accounting for stock-based compensation. For fiscal year 2014, operating cash was reduced by increases to inventories and accounts receivable. During fiscal year 2013, operating cash was reduced by increases to inventories and payment of estimated income taxes. In fiscal year 2015, the Company anticipates that it will maintain positive cash flow from operations by continuing to generate operating profits and managing its inventory levels.</w:t>
      </w:r>
    </w:p>
    <w:p>
      <w:pPr>
        <w:spacing w:after="0" w:line="169" w:lineRule="exact"/>
        <w:rPr>
          <w:sz w:val="20"/>
          <w:szCs w:val="20"/>
          <w:color w:val="auto"/>
        </w:rPr>
      </w:pPr>
    </w:p>
    <w:p>
      <w:pPr>
        <w:jc w:val="both"/>
        <w:ind w:right="20" w:firstLine="408"/>
        <w:spacing w:after="0" w:line="257" w:lineRule="auto"/>
        <w:rPr>
          <w:sz w:val="20"/>
          <w:szCs w:val="20"/>
          <w:color w:val="auto"/>
        </w:rPr>
      </w:pPr>
      <w:r>
        <w:rPr>
          <w:rFonts w:ascii="Arial" w:cs="Arial" w:eastAsia="Arial" w:hAnsi="Arial"/>
          <w:sz w:val="15"/>
          <w:szCs w:val="15"/>
          <w:color w:val="auto"/>
        </w:rPr>
        <w:t>Net cash used in investing activities was $3.6 million and $2.0 million, respectively, for the fiscal years ended April 30, 2014 and 2013. In fiscal year 2014, investing activities included net proceeds from the redemption, sale or purchase of marketable securities for $1.8 million offset by the acquisition of capital equipment for $5.4 million. The fiscal year 2013 activities consisted of net proceeds from marketable securities transactions of $170,000 and acquisitions of capital equipment for $2.2 million. The Company may continue to invest cash equivalents in longer-term securities or to convert short-term investments to cash equivalents as dictated by its investment and acquisition strategies. The Company will continue to acquire more efficient equipment to automate its production process. The Company intends to spend between $3.0 million and $4.0 million on capital equipment during fiscal year 2015. Internally generated cash is expected to be adequate to acquire this property, plant and equipment.</w:t>
      </w: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19" w:name="page20"/>
    <w:bookmarkEnd w:id="1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jc w:val="both"/>
        <w:ind w:right="20" w:firstLine="408"/>
        <w:spacing w:after="0" w:line="256" w:lineRule="auto"/>
        <w:rPr>
          <w:sz w:val="20"/>
          <w:szCs w:val="20"/>
          <w:color w:val="auto"/>
        </w:rPr>
      </w:pPr>
      <w:r>
        <w:rPr>
          <w:rFonts w:ascii="Arial" w:cs="Arial" w:eastAsia="Arial" w:hAnsi="Arial"/>
          <w:sz w:val="15"/>
          <w:szCs w:val="15"/>
          <w:color w:val="auto"/>
        </w:rPr>
        <w:t>The Company has a five-year, $25 million credit facility from a bank. As of April 30, 2014, the Company has borrowed a total of $10.1 million under the credit facility. Such funds were used to fund the 2012 acquisition of FEI-Elcom in the amount of $6 million with the balance used principally to finance the purchase of additional manufacturing equipment to meet increased production output demands. The Company may draw on this bank credit facility to provide additional working capital and to fund acquisitions. The interest rate on the credit facility is based on LIBOR plus either 75 basis points or 175 basis points depending on under which of the two tranches the Company chooses to borrow. For a more complete description of the credit facility, see Note 7 to the Consolidated Financial Statements. In addition, the Company’s European subsidiaries have available approximately $350,000 under a bank credit line to meet short-term cash flow requirements. The rate of interest on any borrowings is based on the one month EURO Interbank Offered Rate (EURIBOR). The European subsidiaries had no borrowings against this line of credit during fiscal years 2014.</w:t>
      </w:r>
    </w:p>
    <w:p>
      <w:pPr>
        <w:spacing w:after="0" w:line="187" w:lineRule="exact"/>
        <w:rPr>
          <w:sz w:val="20"/>
          <w:szCs w:val="20"/>
          <w:color w:val="auto"/>
        </w:rPr>
      </w:pPr>
    </w:p>
    <w:p>
      <w:pPr>
        <w:jc w:val="both"/>
        <w:ind w:right="20" w:firstLine="408"/>
        <w:spacing w:after="0" w:line="255" w:lineRule="auto"/>
        <w:rPr>
          <w:sz w:val="20"/>
          <w:szCs w:val="20"/>
          <w:color w:val="auto"/>
        </w:rPr>
      </w:pPr>
      <w:r>
        <w:rPr>
          <w:rFonts w:ascii="Arial" w:cs="Arial" w:eastAsia="Arial" w:hAnsi="Arial"/>
          <w:sz w:val="15"/>
          <w:szCs w:val="15"/>
          <w:color w:val="auto"/>
        </w:rPr>
        <w:t>During the year ended April 30, 2014, cash provided by financing activities was $4.3 million. The Company borrowed $4.1 million under the bank credit facility and made payments on capital lease obligations in the amount of $15,000. The Company also realized $182,000 from the tax benefit arising from the exercise of stock-based awards during fiscal year 2014. During fiscal year 2013, cash used in financing activities was $1.9 million consisting of borrowings and subsequent repayment of $5.0 million under its previous line of credit and payments of $357,000 against capital lease obligations. In addition, during the third quarter of fiscal year 2013, the Company paid a special cash dividend of $1.7 million. Partially offsetting these financing cash outflows, the Company also received $172,000 upon the exercise of stock-based awards and the tax benefit arising from such exercises. The Company will continue to use treasury shares to satisfy the future exercise of stock options and stock appreciation rights granted to officers and employees. The Company has been authorized by its Board of Directors to repurchase up to $5 million worth of shares of its common stock for treasury whenever appropriate opportunities arise but it has neither a fixed repurchase plan nor commitments to purchase additional shares in the future. As of the end of fiscal year 2014, the Company has repurchased approximately $4 million of its common stock out of the $5 million authorization.</w:t>
      </w:r>
    </w:p>
    <w:p>
      <w:pPr>
        <w:spacing w:after="0" w:line="188" w:lineRule="exact"/>
        <w:rPr>
          <w:sz w:val="20"/>
          <w:szCs w:val="20"/>
          <w:color w:val="auto"/>
        </w:rPr>
      </w:pPr>
    </w:p>
    <w:p>
      <w:pPr>
        <w:jc w:val="both"/>
        <w:ind w:right="20" w:firstLine="408"/>
        <w:spacing w:after="0" w:line="279" w:lineRule="auto"/>
        <w:rPr>
          <w:sz w:val="20"/>
          <w:szCs w:val="20"/>
          <w:color w:val="auto"/>
        </w:rPr>
      </w:pPr>
      <w:r>
        <w:rPr>
          <w:rFonts w:ascii="Arial" w:cs="Arial" w:eastAsia="Arial" w:hAnsi="Arial"/>
          <w:sz w:val="14"/>
          <w:szCs w:val="14"/>
          <w:color w:val="auto"/>
        </w:rPr>
        <w:t>The Company will continue to expend resources to develop, improve and acquire products for space applications, guidance and targeting systems, and communication systems which management believes will result in future growth and continued profitability. During fiscal year 2015, the Company intends to make a substantial investment of capital and technical resources to develop and acquire new products to meet the needs of the U.S. Government, commercial space and network infrastructure marketplaces and to invest in more efficient product designs and manufacturing procedures. Where possible, the Company will secure partial customer funding for its R&amp;D efforts but is targeting to spend its own funds at a rate of up to 10% of revenues to achieve its development goals. Internally generated cash will be adequate to fund these development efforts. The Company may also pursue acquisitions to expand its range of products and may use internally generated cash and external funding in connection with such acquisitions.</w:t>
      </w:r>
    </w:p>
    <w:p>
      <w:pPr>
        <w:spacing w:after="0" w:line="166" w:lineRule="exact"/>
        <w:rPr>
          <w:sz w:val="20"/>
          <w:szCs w:val="20"/>
          <w:color w:val="auto"/>
        </w:rPr>
      </w:pPr>
    </w:p>
    <w:p>
      <w:pPr>
        <w:ind w:left="400"/>
        <w:spacing w:after="0"/>
        <w:rPr>
          <w:sz w:val="20"/>
          <w:szCs w:val="20"/>
          <w:color w:val="auto"/>
        </w:rPr>
      </w:pPr>
      <w:r>
        <w:rPr>
          <w:rFonts w:ascii="Arial" w:cs="Arial" w:eastAsia="Arial" w:hAnsi="Arial"/>
          <w:sz w:val="15"/>
          <w:szCs w:val="15"/>
          <w:b w:val="1"/>
          <w:bCs w:val="1"/>
          <w:u w:val="single" w:color="auto"/>
          <w:color w:val="auto"/>
        </w:rPr>
        <w:t>Off-Balance Sheet Arrangements</w:t>
      </w:r>
    </w:p>
    <w:p>
      <w:pPr>
        <w:spacing w:after="0" w:line="217" w:lineRule="exact"/>
        <w:rPr>
          <w:sz w:val="20"/>
          <w:szCs w:val="20"/>
          <w:color w:val="auto"/>
        </w:rPr>
      </w:pPr>
    </w:p>
    <w:p>
      <w:pPr>
        <w:jc w:val="both"/>
        <w:ind w:right="20" w:firstLine="408"/>
        <w:spacing w:after="0" w:line="314" w:lineRule="auto"/>
        <w:rPr>
          <w:sz w:val="20"/>
          <w:szCs w:val="20"/>
          <w:color w:val="auto"/>
        </w:rPr>
      </w:pPr>
      <w:r>
        <w:rPr>
          <w:rFonts w:ascii="Arial" w:cs="Arial" w:eastAsia="Arial" w:hAnsi="Arial"/>
          <w:sz w:val="14"/>
          <w:szCs w:val="14"/>
          <w:color w:val="auto"/>
        </w:rPr>
        <w:t>The Company does not have any off-balance sheet arrangements, other than operating leases, that have or are reasonably likely to have a current or future effect on the Company’s financial condition, changes in financial condition, revenues or expenses, results of operations, liquidity, capital expenditures or capital resources that is material to investors.</w:t>
      </w:r>
    </w:p>
    <w:p>
      <w:pPr>
        <w:spacing w:after="0" w:line="146"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4"/>
          <w:szCs w:val="14"/>
          <w:color w:val="auto"/>
        </w:rPr>
        <w:t>As of April 30, 2014, the Company's consolidated backlog amounted to approximately $48 million as compared to approximately $51 million at the beginning of the fiscal year. (See Item 1). Approximately 70% of this backlog is expected to be filled during the Company’s fiscal year ending April 30, 2015. Included in the backlog at April 30, 2014 is approximately $3.5 million under cost-plus-fee contracts which the Company believes represent firm commitments from its customers for which the Company has not received full funding to date. The Company excludes from backlog any contracts or awards for which it has not received authorization to proceed. On fixed price contracts, the Company excludes any unfunded portion. The Company expects any partially funded contracts to become fully funded over time and will add the additional funding to its backlog at that time. The backlog is subject to change by reason of several factors including possible cancellation of orders, change orders, terms of the contracts and other factors beyond the Company's control. Accordingly, the backlog is not necessarily indicative of the revenues or profits (losses) which may be realized when the results of such contracts are reported.</w:t>
      </w:r>
    </w:p>
    <w:p>
      <w:pPr>
        <w:spacing w:after="0" w:line="174" w:lineRule="exact"/>
        <w:rPr>
          <w:sz w:val="20"/>
          <w:szCs w:val="20"/>
          <w:color w:val="auto"/>
        </w:rPr>
      </w:pPr>
    </w:p>
    <w:p>
      <w:pPr>
        <w:jc w:val="center"/>
        <w:ind w:left="440"/>
        <w:spacing w:after="0"/>
        <w:rPr>
          <w:sz w:val="20"/>
          <w:szCs w:val="20"/>
          <w:color w:val="auto"/>
        </w:rPr>
      </w:pPr>
      <w:r>
        <w:rPr>
          <w:rFonts w:ascii="Arial" w:cs="Arial" w:eastAsia="Arial" w:hAnsi="Arial"/>
          <w:sz w:val="15"/>
          <w:szCs w:val="15"/>
          <w:color w:val="auto"/>
        </w:rPr>
        <w:t>*******</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Company’s liquidity is adequate to meet its operating and investment needs through at least April 30, 2015.</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0" w:name="page21"/>
    <w:bookmarkEnd w:id="2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RECENT ACCOUNTING PRONOUNCEMENTS</w:t>
      </w:r>
    </w:p>
    <w:p>
      <w:pPr>
        <w:spacing w:after="0" w:line="217" w:lineRule="exact"/>
        <w:rPr>
          <w:sz w:val="20"/>
          <w:szCs w:val="20"/>
          <w:color w:val="auto"/>
        </w:rPr>
      </w:pPr>
    </w:p>
    <w:p>
      <w:pPr>
        <w:jc w:val="both"/>
        <w:ind w:right="20" w:firstLine="544"/>
        <w:spacing w:after="0" w:line="257" w:lineRule="auto"/>
        <w:rPr>
          <w:sz w:val="20"/>
          <w:szCs w:val="20"/>
          <w:color w:val="auto"/>
        </w:rPr>
      </w:pPr>
      <w:r>
        <w:rPr>
          <w:rFonts w:ascii="Arial" w:cs="Arial" w:eastAsia="Arial" w:hAnsi="Arial"/>
          <w:sz w:val="15"/>
          <w:szCs w:val="15"/>
          <w:color w:val="auto"/>
        </w:rPr>
        <w:t>In May 2014, the Financial Accounting Standards Board (“FASB”) issued Accounting Standard Update (“ASU”) No. 2014-09</w:t>
      </w:r>
      <w:r>
        <w:rPr>
          <w:rFonts w:ascii="Arial" w:cs="Arial" w:eastAsia="Arial" w:hAnsi="Arial"/>
          <w:sz w:val="15"/>
          <w:szCs w:val="15"/>
          <w:i w:val="1"/>
          <w:iCs w:val="1"/>
          <w:color w:val="auto"/>
        </w:rPr>
        <w:t>, Revenue from Contracts with Customers (Topic</w:t>
      </w:r>
      <w:r>
        <w:rPr>
          <w:rFonts w:ascii="Arial" w:cs="Arial" w:eastAsia="Arial" w:hAnsi="Arial"/>
          <w:sz w:val="15"/>
          <w:szCs w:val="15"/>
          <w:color w:val="auto"/>
        </w:rPr>
        <w:t xml:space="preserve"> </w:t>
      </w:r>
      <w:r>
        <w:rPr>
          <w:rFonts w:ascii="Arial" w:cs="Arial" w:eastAsia="Arial" w:hAnsi="Arial"/>
          <w:sz w:val="15"/>
          <w:szCs w:val="15"/>
          <w:i w:val="1"/>
          <w:iCs w:val="1"/>
          <w:color w:val="auto"/>
        </w:rPr>
        <w:t>606)</w:t>
      </w:r>
      <w:r>
        <w:rPr>
          <w:rFonts w:ascii="Arial" w:cs="Arial" w:eastAsia="Arial" w:hAnsi="Arial"/>
          <w:sz w:val="15"/>
          <w:szCs w:val="15"/>
          <w:color w:val="auto"/>
        </w:rPr>
        <w:t>. ASU 2014-09 eliminates most of the existing industry-specific revenue recognition guidance and significantly expands related disclosures. The required disclosures will include both</w:t>
      </w:r>
      <w:r>
        <w:rPr>
          <w:rFonts w:ascii="Arial" w:cs="Arial" w:eastAsia="Arial" w:hAnsi="Arial"/>
          <w:sz w:val="15"/>
          <w:szCs w:val="15"/>
          <w:i w:val="1"/>
          <w:iCs w:val="1"/>
          <w:color w:val="auto"/>
        </w:rPr>
        <w:t xml:space="preserve"> </w:t>
      </w:r>
      <w:r>
        <w:rPr>
          <w:rFonts w:ascii="Arial" w:cs="Arial" w:eastAsia="Arial" w:hAnsi="Arial"/>
          <w:sz w:val="15"/>
          <w:szCs w:val="15"/>
          <w:color w:val="auto"/>
        </w:rPr>
        <w:t>quantitative and qualitative information about the amount, timing and uncertainty of revenue from contracts with customers and the significant judgments used. Entities can retrospectively apply ASU 2014-09 or use an alternative transition method. This ASU is effective for public companies for annual reporting periods beginning on or after December 15, 2016 and for the Company, must be adopted for its fiscal year 2018 beginning on May 1, 2017. The Company is in the process of determining the effect that ASU 2014-09 may have on its financial statements.</w:t>
      </w:r>
    </w:p>
    <w:p>
      <w:pPr>
        <w:spacing w:after="0" w:line="185" w:lineRule="exact"/>
        <w:rPr>
          <w:sz w:val="20"/>
          <w:szCs w:val="20"/>
          <w:color w:val="auto"/>
        </w:rPr>
      </w:pPr>
    </w:p>
    <w:p>
      <w:pPr>
        <w:jc w:val="both"/>
        <w:ind w:right="20" w:firstLine="544"/>
        <w:spacing w:after="0" w:line="256" w:lineRule="auto"/>
        <w:rPr>
          <w:sz w:val="20"/>
          <w:szCs w:val="20"/>
          <w:color w:val="auto"/>
        </w:rPr>
      </w:pPr>
      <w:r>
        <w:rPr>
          <w:rFonts w:ascii="Arial" w:cs="Arial" w:eastAsia="Arial" w:hAnsi="Arial"/>
          <w:sz w:val="15"/>
          <w:szCs w:val="15"/>
          <w:color w:val="auto"/>
        </w:rPr>
        <w:t>In February 2013, the FASB issued ASU No. 2013-02</w:t>
      </w:r>
      <w:r>
        <w:rPr>
          <w:rFonts w:ascii="Arial" w:cs="Arial" w:eastAsia="Arial" w:hAnsi="Arial"/>
          <w:sz w:val="15"/>
          <w:szCs w:val="15"/>
          <w:i w:val="1"/>
          <w:iCs w:val="1"/>
          <w:color w:val="auto"/>
        </w:rPr>
        <w:t>, Other Comprehensive Income</w:t>
      </w:r>
      <w:r>
        <w:rPr>
          <w:rFonts w:ascii="Arial" w:cs="Arial" w:eastAsia="Arial" w:hAnsi="Arial"/>
          <w:sz w:val="15"/>
          <w:szCs w:val="15"/>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and the Company adopted ASU 2013-02 in fiscal year 2014 which began on May 1, 2013. Such adoption had no effect on the Company’s financial statements since no reclassification adjustments were made.</w:t>
      </w:r>
    </w:p>
    <w:p>
      <w:pPr>
        <w:spacing w:after="0" w:line="187" w:lineRule="exact"/>
        <w:rPr>
          <w:sz w:val="20"/>
          <w:szCs w:val="20"/>
          <w:color w:val="auto"/>
        </w:rPr>
      </w:pPr>
    </w:p>
    <w:p>
      <w:pPr>
        <w:jc w:val="both"/>
        <w:ind w:firstLine="544"/>
        <w:spacing w:after="0" w:line="256" w:lineRule="auto"/>
        <w:rPr>
          <w:sz w:val="20"/>
          <w:szCs w:val="20"/>
          <w:color w:val="auto"/>
        </w:rPr>
      </w:pPr>
      <w:r>
        <w:rPr>
          <w:rFonts w:ascii="Arial" w:cs="Arial" w:eastAsia="Arial" w:hAnsi="Arial"/>
          <w:sz w:val="15"/>
          <w:szCs w:val="15"/>
          <w:color w:val="auto"/>
        </w:rPr>
        <w:t xml:space="preserve">In July 2012, the FASB issued ASU No. 2012-02, </w:t>
      </w:r>
      <w:r>
        <w:rPr>
          <w:rFonts w:ascii="Arial" w:cs="Arial" w:eastAsia="Arial" w:hAnsi="Arial"/>
          <w:sz w:val="15"/>
          <w:szCs w:val="15"/>
          <w:i w:val="1"/>
          <w:iCs w:val="1"/>
          <w:color w:val="auto"/>
        </w:rPr>
        <w:t>Intangibles – Goodwill and Other (Topic 350): Test Indefinite-Lived Intangible Assets for Impairment</w:t>
      </w:r>
      <w:r>
        <w:rPr>
          <w:rFonts w:ascii="Arial" w:cs="Arial" w:eastAsia="Arial" w:hAnsi="Arial"/>
          <w:sz w:val="15"/>
          <w:szCs w:val="15"/>
          <w:color w:val="auto"/>
        </w:rPr>
        <w:t xml:space="preserve">. Under the requirements of ASU 2012-02 an entity has the option to assess qualitative factors when testing indefinite-lived intangible assets 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5"/>
          <w:szCs w:val="15"/>
          <w:i w:val="1"/>
          <w:iCs w:val="1"/>
          <w:color w:val="auto"/>
        </w:rPr>
        <w:t>Subtopic 350-30</w:t>
      </w:r>
      <w:r>
        <w:rPr>
          <w:rFonts w:ascii="Arial" w:cs="Arial" w:eastAsia="Arial" w:hAnsi="Arial"/>
          <w:sz w:val="15"/>
          <w:szCs w:val="15"/>
          <w:color w:val="auto"/>
        </w:rPr>
        <w:t>. ASU 2012-02 is effective for annual and interim impairment tests performed for fiscal years beginning after September 15, 2012. The Company adopted ASU 2012-02 for its fiscal year 2014 which began on May 1, 2013. The adoption of this ASU had no material impact on the Company’s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OTHER MATTERS</w:t>
      </w:r>
    </w:p>
    <w:p>
      <w:pPr>
        <w:spacing w:after="0" w:line="217"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The financial information reported herein is not necessarily indicative of future operating results or of the future financial condition of the Company. Except as noted, management is unaware of any impending transactions or internal events that are likely to have a material adverse effect on results from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INFLATION</w:t>
      </w:r>
    </w:p>
    <w:p>
      <w:pPr>
        <w:spacing w:after="0" w:line="217"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During fiscal year 2014, as in fiscal year 2013, the impact of inflation on the Company's business has not been materially significant.</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7A. Quantitative and Qualitative Disclosure About Market Risk</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This item is not required for smaller reporting companies.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0"/>
          </w:cols>
          <w:pgMar w:left="240" w:top="124" w:right="199" w:bottom="1440" w:gutter="0" w:footer="0" w:header="0"/>
        </w:sectPr>
      </w:pPr>
    </w:p>
    <w:bookmarkStart w:id="21" w:name="page22"/>
    <w:bookmarkEnd w:id="2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8. Financial Statements and Supplementary Data</w:t>
      </w:r>
    </w:p>
    <w:p>
      <w:pPr>
        <w:spacing w:after="0" w:line="209" w:lineRule="exact"/>
        <w:rPr>
          <w:sz w:val="20"/>
          <w:szCs w:val="20"/>
          <w:color w:val="auto"/>
        </w:rPr>
      </w:pPr>
    </w:p>
    <w:p>
      <w:pPr>
        <w:ind w:left="2900"/>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color w:val="auto"/>
        </w:rPr>
        <w:t>Board of Directors and Shareholders</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Frequency Electronics, Inc.</w:t>
      </w:r>
    </w:p>
    <w:p>
      <w:pPr>
        <w:spacing w:after="0" w:line="204" w:lineRule="exact"/>
        <w:rPr>
          <w:sz w:val="20"/>
          <w:szCs w:val="20"/>
          <w:color w:val="auto"/>
        </w:rPr>
      </w:pPr>
    </w:p>
    <w:p>
      <w:pPr>
        <w:jc w:val="both"/>
        <w:ind w:right="20"/>
        <w:spacing w:after="0" w:line="292" w:lineRule="auto"/>
        <w:rPr>
          <w:sz w:val="20"/>
          <w:szCs w:val="20"/>
          <w:color w:val="auto"/>
        </w:rPr>
      </w:pPr>
      <w:r>
        <w:rPr>
          <w:rFonts w:ascii="Arial" w:cs="Arial" w:eastAsia="Arial" w:hAnsi="Arial"/>
          <w:sz w:val="14"/>
          <w:szCs w:val="14"/>
          <w:color w:val="auto"/>
        </w:rPr>
        <w:t>We have audited the accompanying consolidated balance sheets of Frequency Electronics, Inc. and subsidiaries (the "Company") as of April 30, 2014 and 2013, and the related consolidated statements of income and comprehensive income, cash flows and changes in stockholders' equity for each of the years in the two-year period ended April 30, 2014. The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consolidated financial position of Frequency Electronics, Inc. and subsidiaries as of April 30, 2014 and 2013, and the consolidated results of their operations and their cash flows for each of the years in the two-year period ended April 30, 2014, in conformity with accounting principles generally accepted in the United States.</w:t>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EisnerAmper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EisnerAmper LLP</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July 29, 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2" w:name="page23"/>
    <w:bookmarkEnd w:id="2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April 30, 2014 and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par value)</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7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64"/>
              <w:spacing w:after="0"/>
              <w:rPr>
                <w:sz w:val="20"/>
                <w:szCs w:val="20"/>
                <w:color w:val="auto"/>
              </w:rPr>
            </w:pPr>
            <w:r>
              <w:rPr>
                <w:rFonts w:ascii="Arial" w:cs="Arial" w:eastAsia="Arial" w:hAnsi="Arial"/>
                <w:sz w:val="15"/>
                <w:szCs w:val="15"/>
                <w:b w:val="1"/>
                <w:bCs w:val="1"/>
                <w:color w:val="auto"/>
              </w:rPr>
              <w:t>2014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17"/>
                <w:szCs w:val="17"/>
                <w:color w:val="auto"/>
              </w:rPr>
            </w:pPr>
          </w:p>
        </w:tc>
      </w:tr>
      <w:tr>
        <w:trPr>
          <w:trHeight w:val="352"/>
        </w:trPr>
        <w:tc>
          <w:tcPr>
            <w:tcW w:w="7380" w:type="dxa"/>
            <w:vAlign w:val="bottom"/>
          </w:tcPr>
          <w:p>
            <w:pPr>
              <w:ind w:left="3580"/>
              <w:spacing w:after="0"/>
              <w:rPr>
                <w:sz w:val="20"/>
                <w:szCs w:val="20"/>
                <w:color w:val="auto"/>
              </w:rPr>
            </w:pPr>
            <w:r>
              <w:rPr>
                <w:rFonts w:ascii="Arial" w:cs="Arial" w:eastAsia="Arial" w:hAnsi="Arial"/>
                <w:sz w:val="15"/>
                <w:szCs w:val="15"/>
                <w:b w:val="1"/>
                <w:bCs w:val="1"/>
                <w:color w:val="auto"/>
              </w:rPr>
              <w:t>ASSETS</w:t>
            </w:r>
            <w:r>
              <w:rPr>
                <w:rFonts w:ascii="Arial" w:cs="Arial" w:eastAsia="Arial" w:hAnsi="Arial"/>
                <w:sz w:val="15"/>
                <w:szCs w:val="15"/>
                <w:color w:val="auto"/>
              </w:rPr>
              <w:t>:</w:t>
            </w: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1"/>
        </w:trPr>
        <w:tc>
          <w:tcPr>
            <w:tcW w:w="7380" w:type="dxa"/>
            <w:vAlign w:val="bottom"/>
          </w:tcPr>
          <w:p>
            <w:pPr>
              <w:spacing w:after="0"/>
              <w:rPr>
                <w:sz w:val="20"/>
                <w:szCs w:val="20"/>
                <w:color w:val="auto"/>
              </w:rPr>
            </w:pPr>
            <w:r>
              <w:rPr>
                <w:rFonts w:ascii="Arial" w:cs="Arial" w:eastAsia="Arial" w:hAnsi="Arial"/>
                <w:sz w:val="15"/>
                <w:szCs w:val="15"/>
                <w:color w:val="auto"/>
              </w:rPr>
              <w:t>Current assets: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Cash and cash equivalents</w:t>
            </w:r>
          </w:p>
        </w:tc>
        <w:tc>
          <w:tcPr>
            <w:tcW w:w="12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7,698</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3,460</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5"/>
                <w:szCs w:val="15"/>
                <w:color w:val="auto"/>
              </w:rPr>
              <w:t>Marketable securities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16,030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18,270</w:t>
            </w: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receivable, net of allowance for doubtful accounts of $234 in 2014 and $288 in 2013</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7,741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7,781</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5"/>
                <w:szCs w:val="15"/>
                <w:color w:val="auto"/>
              </w:rPr>
              <w:t>Costs and estimated earnings in excess of billings, net</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10,439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8,617</w:t>
            </w: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Inventories, net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41,227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37,521</w:t>
            </w:r>
          </w:p>
        </w:tc>
      </w:tr>
      <w:tr>
        <w:trPr>
          <w:trHeight w:val="182"/>
        </w:trPr>
        <w:tc>
          <w:tcPr>
            <w:tcW w:w="7380" w:type="dxa"/>
            <w:vAlign w:val="bottom"/>
          </w:tcPr>
          <w:p>
            <w:pPr>
              <w:ind w:left="120"/>
              <w:spacing w:after="0"/>
              <w:rPr>
                <w:sz w:val="20"/>
                <w:szCs w:val="20"/>
                <w:color w:val="auto"/>
              </w:rPr>
            </w:pPr>
            <w:r>
              <w:rPr>
                <w:rFonts w:ascii="Arial" w:cs="Arial" w:eastAsia="Arial" w:hAnsi="Arial"/>
                <w:sz w:val="15"/>
                <w:szCs w:val="15"/>
                <w:color w:val="auto"/>
              </w:rPr>
              <w:t>Deferred income taxes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3,220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3,170</w:t>
            </w: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Prepaid income taxes</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w:t>
            </w:r>
          </w:p>
        </w:tc>
        <w:tc>
          <w:tcPr>
            <w:tcW w:w="120" w:type="dxa"/>
            <w:vAlign w:val="bottom"/>
            <w:shd w:val="clear" w:color="auto" w:fill="CCEEFF"/>
          </w:tcPr>
          <w:p>
            <w:pPr>
              <w:spacing w:after="0"/>
              <w:rPr>
                <w:sz w:val="15"/>
                <w:szCs w:val="15"/>
                <w:color w:val="auto"/>
              </w:rPr>
            </w:pPr>
          </w:p>
        </w:tc>
      </w:tr>
      <w:tr>
        <w:trPr>
          <w:trHeight w:val="184"/>
        </w:trPr>
        <w:tc>
          <w:tcPr>
            <w:tcW w:w="7380" w:type="dxa"/>
            <w:vAlign w:val="bottom"/>
          </w:tcPr>
          <w:p>
            <w:pPr>
              <w:ind w:left="120"/>
              <w:spacing w:after="0"/>
              <w:rPr>
                <w:sz w:val="20"/>
                <w:szCs w:val="20"/>
                <w:color w:val="auto"/>
              </w:rPr>
            </w:pPr>
            <w:r>
              <w:rPr>
                <w:rFonts w:ascii="Arial" w:cs="Arial" w:eastAsia="Arial" w:hAnsi="Arial"/>
                <w:sz w:val="15"/>
                <w:szCs w:val="15"/>
                <w:color w:val="auto"/>
              </w:rPr>
              <w:t>Prepaid expenses and other</w:t>
            </w: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1,294</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1,517</w:t>
            </w:r>
          </w:p>
        </w:tc>
        <w:tc>
          <w:tcPr>
            <w:tcW w:w="120" w:type="dxa"/>
            <w:vAlign w:val="bottom"/>
          </w:tcPr>
          <w:p>
            <w:pPr>
              <w:spacing w:after="0"/>
              <w:rPr>
                <w:sz w:val="16"/>
                <w:szCs w:val="16"/>
                <w:color w:val="auto"/>
              </w:rPr>
            </w:pPr>
          </w:p>
        </w:tc>
      </w:tr>
      <w:tr>
        <w:trPr>
          <w:trHeight w:val="182"/>
        </w:trPr>
        <w:tc>
          <w:tcPr>
            <w:tcW w:w="73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Total current assets</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87,862</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81,016</w:t>
            </w:r>
          </w:p>
        </w:tc>
      </w:tr>
      <w:tr>
        <w:trPr>
          <w:trHeight w:val="182"/>
        </w:trPr>
        <w:tc>
          <w:tcPr>
            <w:tcW w:w="7380" w:type="dxa"/>
            <w:vAlign w:val="bottom"/>
          </w:tcPr>
          <w:p>
            <w:pPr>
              <w:spacing w:after="0"/>
              <w:rPr>
                <w:sz w:val="20"/>
                <w:szCs w:val="20"/>
                <w:color w:val="auto"/>
              </w:rPr>
            </w:pPr>
            <w:r>
              <w:rPr>
                <w:rFonts w:ascii="Arial" w:cs="Arial" w:eastAsia="Arial" w:hAnsi="Arial"/>
                <w:sz w:val="15"/>
                <w:szCs w:val="15"/>
                <w:color w:val="auto"/>
              </w:rPr>
              <w:t>Property, plant and equipment, at cost, net of accumulated depreciation and amortization</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11,240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8,316</w:t>
            </w: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Deferred income taxes</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6,650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6,320</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5"/>
                <w:szCs w:val="15"/>
                <w:color w:val="auto"/>
              </w:rPr>
              <w:t>Goodwill and other intangible assets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689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781</w:t>
            </w: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Cash surrender value of life insurance and cash held in trust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11,321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10,763</w:t>
            </w:r>
          </w:p>
        </w:tc>
      </w:tr>
      <w:tr>
        <w:trPr>
          <w:trHeight w:val="184"/>
        </w:trPr>
        <w:tc>
          <w:tcPr>
            <w:tcW w:w="7380" w:type="dxa"/>
            <w:vAlign w:val="bottom"/>
          </w:tcPr>
          <w:p>
            <w:pPr>
              <w:spacing w:after="0"/>
              <w:rPr>
                <w:sz w:val="20"/>
                <w:szCs w:val="20"/>
                <w:color w:val="auto"/>
              </w:rPr>
            </w:pPr>
            <w:r>
              <w:rPr>
                <w:rFonts w:ascii="Arial" w:cs="Arial" w:eastAsia="Arial" w:hAnsi="Arial"/>
                <w:sz w:val="15"/>
                <w:szCs w:val="15"/>
                <w:color w:val="auto"/>
              </w:rPr>
              <w:t>Other assets</w:t>
            </w:r>
          </w:p>
        </w:tc>
        <w:tc>
          <w:tcPr>
            <w:tcW w:w="9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1,699</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1,713</w:t>
            </w:r>
          </w:p>
        </w:tc>
        <w:tc>
          <w:tcPr>
            <w:tcW w:w="120" w:type="dxa"/>
            <w:vAlign w:val="bottom"/>
          </w:tcPr>
          <w:p>
            <w:pPr>
              <w:spacing w:after="0"/>
              <w:rPr>
                <w:sz w:val="16"/>
                <w:szCs w:val="16"/>
                <w:color w:val="auto"/>
              </w:rPr>
            </w:pPr>
          </w:p>
        </w:tc>
      </w:tr>
      <w:tr>
        <w:trPr>
          <w:trHeight w:val="222"/>
        </w:trPr>
        <w:tc>
          <w:tcPr>
            <w:tcW w:w="7380" w:type="dxa"/>
            <w:vAlign w:val="bottom"/>
            <w:shd w:val="clear" w:color="auto" w:fill="CCEEFF"/>
          </w:tcPr>
          <w:p>
            <w:pPr>
              <w:ind w:left="260"/>
              <w:spacing w:after="0"/>
              <w:rPr>
                <w:sz w:val="20"/>
                <w:szCs w:val="20"/>
                <w:color w:val="auto"/>
              </w:rPr>
            </w:pPr>
            <w:r>
              <w:rPr>
                <w:rFonts w:ascii="Arial" w:cs="Arial" w:eastAsia="Arial" w:hAnsi="Arial"/>
                <w:sz w:val="15"/>
                <w:szCs w:val="15"/>
                <w:b w:val="1"/>
                <w:bCs w:val="1"/>
                <w:color w:val="auto"/>
              </w:rPr>
              <w:t>Total assets</w:t>
            </w:r>
          </w:p>
        </w:tc>
        <w:tc>
          <w:tcPr>
            <w:tcW w:w="12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b w:val="1"/>
                <w:bCs w:val="1"/>
                <w:color w:val="auto"/>
              </w:rPr>
              <w:t>119,461</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108,909</w:t>
            </w:r>
          </w:p>
        </w:tc>
        <w:tc>
          <w:tcPr>
            <w:tcW w:w="120" w:type="dxa"/>
            <w:vAlign w:val="bottom"/>
            <w:shd w:val="clear" w:color="auto" w:fill="CCEEFF"/>
          </w:tcPr>
          <w:p>
            <w:pPr>
              <w:spacing w:after="0"/>
              <w:rPr>
                <w:sz w:val="19"/>
                <w:szCs w:val="19"/>
                <w:color w:val="auto"/>
              </w:rPr>
            </w:pPr>
          </w:p>
        </w:tc>
      </w:tr>
      <w:tr>
        <w:trPr>
          <w:trHeight w:val="338"/>
        </w:trPr>
        <w:tc>
          <w:tcPr>
            <w:tcW w:w="7380" w:type="dxa"/>
            <w:vAlign w:val="bottom"/>
            <w:tcBorders>
              <w:top w:val="single" w:sz="8" w:color="CCEEFF"/>
            </w:tcBorders>
          </w:tcPr>
          <w:p>
            <w:pPr>
              <w:ind w:left="2240"/>
              <w:spacing w:after="0"/>
              <w:rPr>
                <w:sz w:val="20"/>
                <w:szCs w:val="20"/>
                <w:color w:val="auto"/>
              </w:rPr>
            </w:pPr>
            <w:r>
              <w:rPr>
                <w:rFonts w:ascii="Arial" w:cs="Arial" w:eastAsia="Arial" w:hAnsi="Arial"/>
                <w:sz w:val="15"/>
                <w:szCs w:val="15"/>
                <w:b w:val="1"/>
                <w:bCs w:val="1"/>
                <w:color w:val="auto"/>
              </w:rPr>
              <w:t>LIABILITIES AND STOCKHOLDERS' EQUITY</w:t>
            </w:r>
            <w:r>
              <w:rPr>
                <w:rFonts w:ascii="Arial" w:cs="Arial" w:eastAsia="Arial" w:hAnsi="Arial"/>
                <w:sz w:val="15"/>
                <w:szCs w:val="15"/>
                <w:color w:val="auto"/>
              </w:rPr>
              <w:t>:</w:t>
            </w:r>
          </w:p>
        </w:tc>
        <w:tc>
          <w:tcPr>
            <w:tcW w:w="9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91"/>
        </w:trPr>
        <w:tc>
          <w:tcPr>
            <w:tcW w:w="7380" w:type="dxa"/>
            <w:vAlign w:val="bottom"/>
          </w:tcPr>
          <w:p>
            <w:pPr>
              <w:spacing w:after="0"/>
              <w:rPr>
                <w:sz w:val="20"/>
                <w:szCs w:val="20"/>
                <w:color w:val="auto"/>
              </w:rPr>
            </w:pPr>
            <w:r>
              <w:rPr>
                <w:rFonts w:ascii="Arial" w:cs="Arial" w:eastAsia="Arial" w:hAnsi="Arial"/>
                <w:sz w:val="15"/>
                <w:szCs w:val="15"/>
                <w:color w:val="auto"/>
              </w:rPr>
              <w:t>Current liabilities: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Short-term credit obligations</w:t>
            </w:r>
          </w:p>
        </w:tc>
        <w:tc>
          <w:tcPr>
            <w:tcW w:w="12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5"/>
                <w:szCs w:val="15"/>
                <w:color w:val="auto"/>
              </w:rPr>
              <w:t>Accounts payable - trade</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2,336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1,205</w:t>
            </w:r>
          </w:p>
        </w:tc>
        <w:tc>
          <w:tcPr>
            <w:tcW w:w="120" w:type="dxa"/>
            <w:vAlign w:val="bottom"/>
          </w:tcPr>
          <w:p>
            <w:pPr>
              <w:spacing w:after="0"/>
              <w:rPr>
                <w:sz w:val="15"/>
                <w:szCs w:val="15"/>
                <w:color w:val="auto"/>
              </w:rPr>
            </w:pPr>
          </w:p>
        </w:tc>
      </w:tr>
      <w:tr>
        <w:trPr>
          <w:trHeight w:val="184"/>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Accrued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7,361</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7,964</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2"/>
        </w:trPr>
        <w:tc>
          <w:tcPr>
            <w:tcW w:w="7380" w:type="dxa"/>
            <w:vAlign w:val="bottom"/>
          </w:tcPr>
          <w:p>
            <w:pPr>
              <w:ind w:left="380"/>
              <w:spacing w:after="0"/>
              <w:rPr>
                <w:sz w:val="20"/>
                <w:szCs w:val="20"/>
                <w:color w:val="auto"/>
              </w:rPr>
            </w:pPr>
            <w:r>
              <w:rPr>
                <w:rFonts w:ascii="Arial" w:cs="Arial" w:eastAsia="Arial" w:hAnsi="Arial"/>
                <w:sz w:val="15"/>
                <w:szCs w:val="15"/>
                <w:color w:val="auto"/>
              </w:rPr>
              <w:t>Total current liabilities</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9,697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9,327</w:t>
            </w: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Credit obligations- noncurrent</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10,100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5"/>
                <w:szCs w:val="15"/>
                <w:color w:val="auto"/>
              </w:rPr>
              <w:t>Deferred compensation</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10,724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10,374</w:t>
            </w:r>
          </w:p>
        </w:tc>
      </w:tr>
      <w:tr>
        <w:trPr>
          <w:trHeight w:val="184"/>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Deferred rent and other liabilities</w:t>
            </w:r>
          </w:p>
        </w:tc>
        <w:tc>
          <w:tcPr>
            <w:tcW w:w="9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756</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7380" w:type="dxa"/>
            <w:vAlign w:val="bottom"/>
          </w:tcPr>
          <w:p>
            <w:pPr>
              <w:ind w:left="260"/>
              <w:spacing w:after="0"/>
              <w:rPr>
                <w:sz w:val="20"/>
                <w:szCs w:val="20"/>
                <w:color w:val="auto"/>
              </w:rPr>
            </w:pPr>
            <w:r>
              <w:rPr>
                <w:rFonts w:ascii="Arial" w:cs="Arial" w:eastAsia="Arial" w:hAnsi="Arial"/>
                <w:sz w:val="15"/>
                <w:szCs w:val="15"/>
                <w:color w:val="auto"/>
              </w:rPr>
              <w:t>Total liabilities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31,115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26,457</w:t>
            </w:r>
          </w:p>
        </w:tc>
      </w:tr>
      <w:tr>
        <w:trPr>
          <w:trHeight w:val="182"/>
        </w:trPr>
        <w:tc>
          <w:tcPr>
            <w:tcW w:w="7380" w:type="dxa"/>
            <w:vAlign w:val="bottom"/>
            <w:shd w:val="clear" w:color="auto" w:fill="CCEEFF"/>
          </w:tcPr>
          <w:p>
            <w:pPr>
              <w:spacing w:after="0"/>
              <w:rPr>
                <w:sz w:val="20"/>
                <w:szCs w:val="20"/>
                <w:color w:val="auto"/>
              </w:rPr>
            </w:pPr>
            <w:r>
              <w:rPr>
                <w:rFonts w:ascii="Arial" w:cs="Arial" w:eastAsia="Arial" w:hAnsi="Arial"/>
                <w:sz w:val="15"/>
                <w:szCs w:val="15"/>
                <w:color w:val="auto"/>
              </w:rPr>
              <w:t>Commitments and contingencies</w:t>
            </w:r>
          </w:p>
        </w:tc>
        <w:tc>
          <w:tcPr>
            <w:tcW w:w="9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spacing w:after="0"/>
              <w:rPr>
                <w:sz w:val="20"/>
                <w:szCs w:val="20"/>
                <w:color w:val="auto"/>
              </w:rPr>
            </w:pPr>
            <w:r>
              <w:rPr>
                <w:rFonts w:ascii="Arial" w:cs="Arial" w:eastAsia="Arial" w:hAnsi="Arial"/>
                <w:sz w:val="15"/>
                <w:szCs w:val="15"/>
                <w:color w:val="auto"/>
              </w:rPr>
              <w:t>Stockholders' equity:</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Preferred stock, $1.00 par value authorized 600 shares, no shares issued</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5"/>
                <w:szCs w:val="15"/>
                <w:color w:val="auto"/>
              </w:rPr>
            </w:pPr>
          </w:p>
        </w:tc>
      </w:tr>
      <w:tr>
        <w:trPr>
          <w:trHeight w:val="171"/>
        </w:trPr>
        <w:tc>
          <w:tcPr>
            <w:tcW w:w="7380" w:type="dxa"/>
            <w:vAlign w:val="bottom"/>
          </w:tcPr>
          <w:p>
            <w:pPr>
              <w:ind w:left="120"/>
              <w:spacing w:after="0" w:line="171" w:lineRule="exact"/>
              <w:rPr>
                <w:sz w:val="20"/>
                <w:szCs w:val="20"/>
                <w:color w:val="auto"/>
              </w:rPr>
            </w:pPr>
            <w:r>
              <w:rPr>
                <w:rFonts w:ascii="Arial" w:cs="Arial" w:eastAsia="Arial" w:hAnsi="Arial"/>
                <w:sz w:val="15"/>
                <w:szCs w:val="15"/>
                <w:color w:val="auto"/>
                <w:w w:val="97"/>
              </w:rPr>
              <w:t>Common stock, $1.00 par value; authorized 20,000 shares, 9,164 shares issued and 8,571 outstanding in 2014;</w:t>
            </w:r>
          </w:p>
        </w:tc>
        <w:tc>
          <w:tcPr>
            <w:tcW w:w="980" w:type="dxa"/>
            <w:vAlign w:val="bottom"/>
          </w:tcPr>
          <w:p>
            <w:pPr>
              <w:jc w:val="right"/>
              <w:ind w:right="484"/>
              <w:spacing w:after="0" w:line="171" w:lineRule="exact"/>
              <w:rPr>
                <w:sz w:val="20"/>
                <w:szCs w:val="20"/>
                <w:color w:val="auto"/>
              </w:rPr>
            </w:pPr>
            <w:r>
              <w:rPr>
                <w:rFonts w:ascii="Arial" w:cs="Arial" w:eastAsia="Arial" w:hAnsi="Arial"/>
                <w:sz w:val="15"/>
                <w:szCs w:val="15"/>
                <w:color w:val="auto"/>
              </w:rPr>
              <w:t>8,463</w:t>
            </w: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7380" w:type="dxa"/>
            <w:vAlign w:val="bottom"/>
          </w:tcPr>
          <w:p>
            <w:pPr>
              <w:ind w:left="260"/>
              <w:spacing w:after="0"/>
              <w:rPr>
                <w:sz w:val="20"/>
                <w:szCs w:val="20"/>
                <w:color w:val="auto"/>
              </w:rPr>
            </w:pPr>
            <w:r>
              <w:rPr>
                <w:rFonts w:ascii="Arial" w:cs="Arial" w:eastAsia="Arial" w:hAnsi="Arial"/>
                <w:sz w:val="15"/>
                <w:szCs w:val="15"/>
                <w:color w:val="auto"/>
              </w:rPr>
              <w:t>outstanding in 2013</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5"/>
                <w:szCs w:val="15"/>
                <w:color w:val="auto"/>
              </w:rPr>
              <w:t>9,164</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9,164</w:t>
            </w:r>
          </w:p>
        </w:tc>
        <w:tc>
          <w:tcPr>
            <w:tcW w:w="120" w:type="dxa"/>
            <w:vAlign w:val="bottom"/>
          </w:tcPr>
          <w:p>
            <w:pPr>
              <w:spacing w:after="0"/>
              <w:rPr>
                <w:sz w:val="16"/>
                <w:szCs w:val="16"/>
                <w:color w:val="auto"/>
              </w:rPr>
            </w:pPr>
          </w:p>
        </w:tc>
      </w:tr>
      <w:tr>
        <w:trPr>
          <w:trHeight w:val="182"/>
        </w:trPr>
        <w:tc>
          <w:tcPr>
            <w:tcW w:w="7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Additional paid-in capital</w:t>
            </w:r>
          </w:p>
        </w:tc>
        <w:tc>
          <w:tcPr>
            <w:tcW w:w="9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53,181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51,913</w:t>
            </w:r>
          </w:p>
        </w:tc>
      </w:tr>
      <w:tr>
        <w:trPr>
          <w:trHeight w:val="184"/>
        </w:trPr>
        <w:tc>
          <w:tcPr>
            <w:tcW w:w="7380" w:type="dxa"/>
            <w:vAlign w:val="bottom"/>
          </w:tcPr>
          <w:p>
            <w:pPr>
              <w:ind w:left="120"/>
              <w:spacing w:after="0"/>
              <w:rPr>
                <w:sz w:val="20"/>
                <w:szCs w:val="20"/>
                <w:color w:val="auto"/>
              </w:rPr>
            </w:pPr>
            <w:r>
              <w:rPr>
                <w:rFonts w:ascii="Arial" w:cs="Arial" w:eastAsia="Arial" w:hAnsi="Arial"/>
                <w:sz w:val="15"/>
                <w:szCs w:val="15"/>
                <w:color w:val="auto"/>
              </w:rPr>
              <w:t>Retained earnings</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24,702</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20,662</w:t>
            </w:r>
          </w:p>
        </w:tc>
      </w:tr>
      <w:tr>
        <w:trPr>
          <w:trHeight w:val="182"/>
        </w:trPr>
        <w:tc>
          <w:tcPr>
            <w:tcW w:w="73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87,047</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81,739</w:t>
            </w:r>
          </w:p>
        </w:tc>
        <w:tc>
          <w:tcPr>
            <w:tcW w:w="120" w:type="dxa"/>
            <w:vAlign w:val="bottom"/>
            <w:shd w:val="clear" w:color="auto" w:fill="CCEEFF"/>
          </w:tcPr>
          <w:p>
            <w:pPr>
              <w:spacing w:after="0"/>
              <w:rPr>
                <w:sz w:val="15"/>
                <w:szCs w:val="15"/>
                <w:color w:val="auto"/>
              </w:rPr>
            </w:pPr>
          </w:p>
        </w:tc>
      </w:tr>
      <w:tr>
        <w:trPr>
          <w:trHeight w:val="182"/>
        </w:trPr>
        <w:tc>
          <w:tcPr>
            <w:tcW w:w="7380" w:type="dxa"/>
            <w:vAlign w:val="bottom"/>
          </w:tcPr>
          <w:p>
            <w:pPr>
              <w:ind w:left="120"/>
              <w:spacing w:after="0"/>
              <w:rPr>
                <w:sz w:val="20"/>
                <w:szCs w:val="20"/>
                <w:color w:val="auto"/>
              </w:rPr>
            </w:pPr>
            <w:r>
              <w:rPr>
                <w:rFonts w:ascii="Arial" w:cs="Arial" w:eastAsia="Arial" w:hAnsi="Arial"/>
                <w:sz w:val="15"/>
                <w:szCs w:val="15"/>
                <w:color w:val="auto"/>
              </w:rPr>
              <w:t>Common stock reacquired and held in treasury - at cost (593 shares in 2014 and 701 shares in 2013)</w:t>
            </w: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5"/>
                <w:szCs w:val="15"/>
                <w:color w:val="auto"/>
              </w:rPr>
              <w:t>(2,715)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(3,200)</w:t>
            </w:r>
          </w:p>
        </w:tc>
      </w:tr>
      <w:tr>
        <w:trPr>
          <w:trHeight w:val="184"/>
        </w:trPr>
        <w:tc>
          <w:tcPr>
            <w:tcW w:w="73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Accumulated other comprehensive income</w:t>
            </w:r>
          </w:p>
        </w:tc>
        <w:tc>
          <w:tcPr>
            <w:tcW w:w="9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4,014</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3,913</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4"/>
        </w:trPr>
        <w:tc>
          <w:tcPr>
            <w:tcW w:w="7380" w:type="dxa"/>
            <w:vAlign w:val="bottom"/>
          </w:tcPr>
          <w:p>
            <w:pPr>
              <w:ind w:left="260"/>
              <w:spacing w:after="0"/>
              <w:rPr>
                <w:sz w:val="20"/>
                <w:szCs w:val="20"/>
                <w:color w:val="auto"/>
              </w:rPr>
            </w:pPr>
            <w:r>
              <w:rPr>
                <w:rFonts w:ascii="Arial" w:cs="Arial" w:eastAsia="Arial" w:hAnsi="Arial"/>
                <w:sz w:val="15"/>
                <w:szCs w:val="15"/>
                <w:color w:val="auto"/>
              </w:rPr>
              <w:t>Total stockholders' equity</w:t>
            </w: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88,346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82,452</w:t>
            </w:r>
          </w:p>
        </w:tc>
      </w:tr>
      <w:tr>
        <w:trPr>
          <w:trHeight w:val="222"/>
        </w:trPr>
        <w:tc>
          <w:tcPr>
            <w:tcW w:w="7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b w:val="1"/>
                <w:bCs w:val="1"/>
                <w:color w:val="auto"/>
              </w:rPr>
              <w:t>Total liabilities and stockholders' equity</w:t>
            </w:r>
          </w:p>
        </w:tc>
        <w:tc>
          <w:tcPr>
            <w:tcW w:w="9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119,461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b w:val="1"/>
                <w:bCs w:val="1"/>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108,909</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38"/>
        </w:trPr>
        <w:tc>
          <w:tcPr>
            <w:tcW w:w="836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1840" w:type="dxa"/>
            <w:vAlign w:val="bottom"/>
          </w:tcPr>
          <w:p>
            <w:pPr>
              <w:spacing w:after="0"/>
              <w:rPr>
                <w:sz w:val="24"/>
                <w:szCs w:val="24"/>
                <w:color w:val="auto"/>
              </w:rPr>
            </w:pPr>
          </w:p>
        </w:tc>
        <w:tc>
          <w:tcPr>
            <w:tcW w:w="5680" w:type="dxa"/>
            <w:vAlign w:val="bottom"/>
            <w:gridSpan w:val="2"/>
          </w:tcPr>
          <w:p>
            <w:pPr>
              <w:jc w:val="center"/>
              <w:ind w:left="324"/>
              <w:spacing w:after="0"/>
              <w:rPr>
                <w:sz w:val="20"/>
                <w:szCs w:val="20"/>
                <w:color w:val="auto"/>
              </w:rPr>
            </w:pPr>
            <w:r>
              <w:rPr>
                <w:rFonts w:ascii="Arial" w:cs="Arial" w:eastAsia="Arial" w:hAnsi="Arial"/>
                <w:sz w:val="15"/>
                <w:szCs w:val="15"/>
                <w:b w:val="1"/>
                <w:bCs w:val="1"/>
                <w:color w:val="auto"/>
              </w:rPr>
              <w:t>FREQUENCY ELECTRONICS, INC. and SUBSIDIARIES</w:t>
            </w: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5680" w:type="dxa"/>
            <w:vAlign w:val="bottom"/>
            <w:gridSpan w:val="2"/>
          </w:tcPr>
          <w:p>
            <w:pPr>
              <w:jc w:val="center"/>
              <w:ind w:left="304"/>
              <w:spacing w:after="0"/>
              <w:rPr>
                <w:sz w:val="20"/>
                <w:szCs w:val="20"/>
                <w:color w:val="auto"/>
              </w:rPr>
            </w:pPr>
            <w:r>
              <w:rPr>
                <w:rFonts w:ascii="Arial" w:cs="Arial" w:eastAsia="Arial" w:hAnsi="Arial"/>
                <w:sz w:val="15"/>
                <w:szCs w:val="15"/>
                <w:color w:val="auto"/>
                <w:w w:val="90"/>
              </w:rPr>
              <w:t>Consolidated Statements of Income and Comprehensive Income</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5680" w:type="dxa"/>
            <w:vAlign w:val="bottom"/>
            <w:gridSpan w:val="2"/>
          </w:tcPr>
          <w:p>
            <w:pPr>
              <w:jc w:val="center"/>
              <w:ind w:left="304"/>
              <w:spacing w:after="0"/>
              <w:rPr>
                <w:sz w:val="20"/>
                <w:szCs w:val="20"/>
                <w:color w:val="auto"/>
              </w:rPr>
            </w:pPr>
            <w:r>
              <w:rPr>
                <w:rFonts w:ascii="Arial" w:cs="Arial" w:eastAsia="Arial" w:hAnsi="Arial"/>
                <w:sz w:val="15"/>
                <w:szCs w:val="15"/>
                <w:color w:val="auto"/>
                <w:w w:val="90"/>
              </w:rPr>
              <w:t>Years ended April 30, 2014 and 2013</w:t>
            </w: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67"/>
        </w:trPr>
        <w:tc>
          <w:tcPr>
            <w:tcW w:w="84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48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44"/>
              <w:spacing w:after="0"/>
              <w:rPr>
                <w:sz w:val="20"/>
                <w:szCs w:val="20"/>
                <w:color w:val="auto"/>
              </w:rPr>
            </w:pPr>
            <w:r>
              <w:rPr>
                <w:rFonts w:ascii="Arial" w:cs="Arial" w:eastAsia="Arial" w:hAnsi="Arial"/>
                <w:sz w:val="15"/>
                <w:szCs w:val="15"/>
                <w:b w:val="1"/>
                <w:bCs w:val="1"/>
                <w:color w:val="auto"/>
              </w:rPr>
              <w:t>2013</w:t>
            </w:r>
          </w:p>
        </w:tc>
        <w:tc>
          <w:tcPr>
            <w:tcW w:w="1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80" w:type="dxa"/>
            <w:vAlign w:val="bottom"/>
            <w:gridSpan w:val="7"/>
          </w:tcPr>
          <w:p>
            <w:pPr>
              <w:jc w:val="right"/>
              <w:ind w:right="480"/>
              <w:spacing w:after="0"/>
              <w:rPr>
                <w:sz w:val="20"/>
                <w:szCs w:val="20"/>
                <w:color w:val="auto"/>
              </w:rPr>
            </w:pPr>
            <w:r>
              <w:rPr>
                <w:rFonts w:ascii="Arial" w:cs="Arial" w:eastAsia="Arial" w:hAnsi="Arial"/>
                <w:sz w:val="15"/>
                <w:szCs w:val="15"/>
                <w:color w:val="auto"/>
              </w:rPr>
              <w:t>(In thousands, except per share data)</w:t>
            </w:r>
          </w:p>
        </w:tc>
      </w:tr>
      <w:tr>
        <w:trPr>
          <w:trHeight w:val="182"/>
        </w:trPr>
        <w:tc>
          <w:tcPr>
            <w:tcW w:w="83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Revenues</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71,550</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68,932</w:t>
            </w:r>
          </w:p>
        </w:tc>
      </w:tr>
      <w:tr>
        <w:trPr>
          <w:trHeight w:val="184"/>
        </w:trPr>
        <w:tc>
          <w:tcPr>
            <w:tcW w:w="8360" w:type="dxa"/>
            <w:vAlign w:val="bottom"/>
            <w:gridSpan w:val="4"/>
          </w:tcPr>
          <w:p>
            <w:pPr>
              <w:spacing w:after="0"/>
              <w:rPr>
                <w:sz w:val="20"/>
                <w:szCs w:val="20"/>
                <w:color w:val="auto"/>
              </w:rPr>
            </w:pPr>
            <w:r>
              <w:rPr>
                <w:rFonts w:ascii="Arial" w:cs="Arial" w:eastAsia="Arial" w:hAnsi="Arial"/>
                <w:sz w:val="15"/>
                <w:szCs w:val="15"/>
                <w:color w:val="auto"/>
              </w:rPr>
              <w:t>Cost of revenues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46,800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43,822</w:t>
            </w:r>
          </w:p>
        </w:tc>
      </w:tr>
      <w:tr>
        <w:trPr>
          <w:trHeight w:val="18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Gross margin</w:t>
            </w: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24,750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25,110</w:t>
            </w:r>
          </w:p>
        </w:tc>
        <w:tc>
          <w:tcPr>
            <w:tcW w:w="120" w:type="dxa"/>
            <w:vAlign w:val="bottom"/>
            <w:shd w:val="clear" w:color="auto" w:fill="CCEEFF"/>
          </w:tcPr>
          <w:p>
            <w:pPr>
              <w:spacing w:after="0"/>
              <w:rPr>
                <w:sz w:val="15"/>
                <w:szCs w:val="15"/>
                <w:color w:val="auto"/>
              </w:rPr>
            </w:pPr>
          </w:p>
        </w:tc>
      </w:tr>
      <w:tr>
        <w:trPr>
          <w:trHeight w:val="182"/>
        </w:trPr>
        <w:tc>
          <w:tcPr>
            <w:tcW w:w="8360" w:type="dxa"/>
            <w:vAlign w:val="bottom"/>
            <w:gridSpan w:val="4"/>
          </w:tcPr>
          <w:p>
            <w:pPr>
              <w:spacing w:after="0"/>
              <w:rPr>
                <w:sz w:val="20"/>
                <w:szCs w:val="20"/>
                <w:color w:val="auto"/>
              </w:rPr>
            </w:pPr>
            <w:r>
              <w:rPr>
                <w:rFonts w:ascii="Arial" w:cs="Arial" w:eastAsia="Arial" w:hAnsi="Arial"/>
                <w:sz w:val="15"/>
                <w:szCs w:val="15"/>
                <w:color w:val="auto"/>
              </w:rPr>
              <w:t>Selling and administrative expenses</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14,064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5"/>
                <w:szCs w:val="15"/>
                <w:color w:val="auto"/>
              </w:rPr>
              <w:t>14,704</w:t>
            </w:r>
          </w:p>
        </w:tc>
      </w:tr>
      <w:tr>
        <w:trPr>
          <w:trHeight w:val="184"/>
        </w:trPr>
        <w:tc>
          <w:tcPr>
            <w:tcW w:w="8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Research and development expenses</w:t>
            </w: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5,813</w:t>
            </w: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5,727</w:t>
            </w:r>
          </w:p>
        </w:tc>
        <w:tc>
          <w:tcPr>
            <w:tcW w:w="120" w:type="dxa"/>
            <w:vAlign w:val="bottom"/>
            <w:tcBorders>
              <w:bottom w:val="single" w:sz="8" w:color="CCEEFF"/>
            </w:tcBorders>
            <w:shd w:val="clear" w:color="auto" w:fill="CCEEFF"/>
          </w:tcPr>
          <w:p>
            <w:pPr>
              <w:spacing w:after="0"/>
              <w:rPr>
                <w:sz w:val="16"/>
                <w:szCs w:val="16"/>
                <w:color w:val="auto"/>
              </w:rPr>
            </w:pPr>
          </w:p>
        </w:tc>
      </w:tr>
      <w:tr>
        <w:trPr>
          <w:trHeight w:val="182"/>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Operating profit</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4,873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4,679</w:t>
            </w:r>
          </w:p>
        </w:tc>
        <w:tc>
          <w:tcPr>
            <w:tcW w:w="120" w:type="dxa"/>
            <w:vAlign w:val="bottom"/>
          </w:tcPr>
          <w:p>
            <w:pPr>
              <w:spacing w:after="0"/>
              <w:rPr>
                <w:sz w:val="15"/>
                <w:szCs w:val="15"/>
                <w:color w:val="auto"/>
              </w:rPr>
            </w:pPr>
          </w:p>
        </w:tc>
      </w:tr>
      <w:tr>
        <w:trPr>
          <w:trHeight w:val="182"/>
        </w:trPr>
        <w:tc>
          <w:tcPr>
            <w:tcW w:w="83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Other income (expense):</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82"/>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Investment income</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880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671</w:t>
            </w:r>
          </w:p>
        </w:tc>
        <w:tc>
          <w:tcPr>
            <w:tcW w:w="120" w:type="dxa"/>
            <w:vAlign w:val="bottom"/>
          </w:tcPr>
          <w:p>
            <w:pPr>
              <w:spacing w:after="0"/>
              <w:rPr>
                <w:sz w:val="15"/>
                <w:szCs w:val="15"/>
                <w:color w:val="auto"/>
              </w:rPr>
            </w:pPr>
          </w:p>
        </w:tc>
      </w:tr>
      <w:tr>
        <w:trPr>
          <w:trHeight w:val="18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Interest expense</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(195)</w:t>
            </w:r>
          </w:p>
        </w:tc>
      </w:tr>
      <w:tr>
        <w:trPr>
          <w:trHeight w:val="184"/>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Other income (expense), net</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703</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(69)</w:t>
            </w:r>
          </w:p>
        </w:tc>
      </w:tr>
      <w:tr>
        <w:trPr>
          <w:trHeight w:val="182"/>
        </w:trPr>
        <w:tc>
          <w:tcPr>
            <w:tcW w:w="836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Income before provision for income taxes</w:t>
            </w:r>
          </w:p>
        </w:tc>
        <w:tc>
          <w:tcPr>
            <w:tcW w:w="90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6,300</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5,086</w:t>
            </w:r>
          </w:p>
        </w:tc>
        <w:tc>
          <w:tcPr>
            <w:tcW w:w="120" w:type="dxa"/>
            <w:vAlign w:val="bottom"/>
            <w:shd w:val="clear" w:color="auto" w:fill="CCEEFF"/>
          </w:tcPr>
          <w:p>
            <w:pPr>
              <w:spacing w:after="0"/>
              <w:rPr>
                <w:sz w:val="15"/>
                <w:szCs w:val="15"/>
                <w:color w:val="auto"/>
              </w:rPr>
            </w:pPr>
          </w:p>
        </w:tc>
      </w:tr>
      <w:tr>
        <w:trPr>
          <w:trHeight w:val="184"/>
        </w:trPr>
        <w:tc>
          <w:tcPr>
            <w:tcW w:w="8360" w:type="dxa"/>
            <w:vAlign w:val="bottom"/>
            <w:gridSpan w:val="4"/>
          </w:tcPr>
          <w:p>
            <w:pPr>
              <w:spacing w:after="0"/>
              <w:rPr>
                <w:sz w:val="20"/>
                <w:szCs w:val="20"/>
                <w:color w:val="auto"/>
              </w:rPr>
            </w:pPr>
            <w:r>
              <w:rPr>
                <w:rFonts w:ascii="Arial" w:cs="Arial" w:eastAsia="Arial" w:hAnsi="Arial"/>
                <w:sz w:val="15"/>
                <w:szCs w:val="15"/>
                <w:color w:val="auto"/>
              </w:rPr>
              <w:t>Provision for income taxes</w:t>
            </w: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2,260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1,400</w:t>
            </w:r>
          </w:p>
        </w:tc>
        <w:tc>
          <w:tcPr>
            <w:tcW w:w="120" w:type="dxa"/>
            <w:vAlign w:val="bottom"/>
          </w:tcPr>
          <w:p>
            <w:pPr>
              <w:spacing w:after="0"/>
              <w:rPr>
                <w:sz w:val="16"/>
                <w:szCs w:val="16"/>
                <w:color w:val="auto"/>
              </w:rPr>
            </w:pPr>
          </w:p>
        </w:tc>
      </w:tr>
      <w:tr>
        <w:trPr>
          <w:trHeight w:val="22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4,040</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3,686</w:t>
            </w:r>
          </w:p>
        </w:tc>
        <w:tc>
          <w:tcPr>
            <w:tcW w:w="120" w:type="dxa"/>
            <w:vAlign w:val="bottom"/>
            <w:shd w:val="clear" w:color="auto" w:fill="CCEEFF"/>
          </w:tcPr>
          <w:p>
            <w:pPr>
              <w:spacing w:after="0"/>
              <w:rPr>
                <w:sz w:val="19"/>
                <w:szCs w:val="19"/>
                <w:color w:val="auto"/>
              </w:rPr>
            </w:pPr>
          </w:p>
        </w:tc>
      </w:tr>
      <w:tr>
        <w:trPr>
          <w:trHeight w:val="167"/>
        </w:trPr>
        <w:tc>
          <w:tcPr>
            <w:tcW w:w="8360" w:type="dxa"/>
            <w:vAlign w:val="bottom"/>
            <w:tcBorders>
              <w:top w:val="single" w:sz="8" w:color="CCEEFF"/>
            </w:tcBorders>
            <w:gridSpan w:val="4"/>
          </w:tcPr>
          <w:p>
            <w:pPr>
              <w:spacing w:after="0" w:line="167" w:lineRule="exact"/>
              <w:rPr>
                <w:sz w:val="20"/>
                <w:szCs w:val="20"/>
                <w:color w:val="auto"/>
              </w:rPr>
            </w:pPr>
            <w:r>
              <w:rPr>
                <w:rFonts w:ascii="Arial" w:cs="Arial" w:eastAsia="Arial" w:hAnsi="Arial"/>
                <w:sz w:val="15"/>
                <w:szCs w:val="15"/>
                <w:color w:val="auto"/>
              </w:rPr>
              <w:t>Net income per common share:</w:t>
            </w:r>
          </w:p>
        </w:tc>
        <w:tc>
          <w:tcPr>
            <w:tcW w:w="90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r>
      <w:tr>
        <w:trPr>
          <w:trHeight w:val="20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Basic</w:t>
            </w: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0.44</w:t>
            </w:r>
          </w:p>
        </w:tc>
      </w:tr>
      <w:tr>
        <w:trPr>
          <w:trHeight w:val="20"/>
        </w:trPr>
        <w:tc>
          <w:tcPr>
            <w:tcW w:w="84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2420" w:type="dxa"/>
            <w:vAlign w:val="bottom"/>
            <w:tcBorders>
              <w:top w:val="single" w:sz="8" w:color="CCEEFF"/>
            </w:tcBorders>
            <w:shd w:val="clear" w:color="auto" w:fill="CCEEFF"/>
          </w:tcPr>
          <w:p>
            <w:pPr>
              <w:spacing w:after="0" w:line="20" w:lineRule="exact"/>
              <w:rPr>
                <w:sz w:val="1"/>
                <w:szCs w:val="1"/>
                <w:color w:val="auto"/>
              </w:rPr>
            </w:pPr>
          </w:p>
        </w:tc>
        <w:tc>
          <w:tcPr>
            <w:tcW w:w="326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167"/>
        </w:trPr>
        <w:tc>
          <w:tcPr>
            <w:tcW w:w="8360" w:type="dxa"/>
            <w:vAlign w:val="bottom"/>
            <w:gridSpan w:val="4"/>
          </w:tcPr>
          <w:p>
            <w:pPr>
              <w:ind w:left="120"/>
              <w:spacing w:after="0" w:line="167" w:lineRule="exact"/>
              <w:rPr>
                <w:sz w:val="20"/>
                <w:szCs w:val="20"/>
                <w:color w:val="auto"/>
              </w:rPr>
            </w:pPr>
            <w:r>
              <w:rPr>
                <w:rFonts w:ascii="Arial" w:cs="Arial" w:eastAsia="Arial" w:hAnsi="Arial"/>
                <w:sz w:val="15"/>
                <w:szCs w:val="15"/>
                <w:color w:val="auto"/>
              </w:rPr>
              <w:t>Diluted</w:t>
            </w:r>
          </w:p>
        </w:tc>
        <w:tc>
          <w:tcPr>
            <w:tcW w:w="900" w:type="dxa"/>
            <w:vAlign w:val="bottom"/>
          </w:tcPr>
          <w:p>
            <w:pPr>
              <w:jc w:val="right"/>
              <w:ind w:right="744"/>
              <w:spacing w:after="0" w:line="167" w:lineRule="exact"/>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line="167" w:lineRule="exact"/>
              <w:rPr>
                <w:sz w:val="20"/>
                <w:szCs w:val="20"/>
                <w:color w:val="auto"/>
              </w:rPr>
            </w:pPr>
            <w:r>
              <w:rPr>
                <w:rFonts w:ascii="Arial" w:cs="Arial" w:eastAsia="Arial" w:hAnsi="Arial"/>
                <w:sz w:val="15"/>
                <w:szCs w:val="15"/>
                <w:color w:val="auto"/>
              </w:rPr>
              <w:t>0.46</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jc w:val="right"/>
              <w:ind w:right="144"/>
              <w:spacing w:after="0" w:line="167" w:lineRule="exact"/>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20"/>
              <w:spacing w:after="0" w:line="167" w:lineRule="exact"/>
              <w:rPr>
                <w:sz w:val="20"/>
                <w:szCs w:val="20"/>
                <w:color w:val="auto"/>
              </w:rPr>
            </w:pPr>
            <w:r>
              <w:rPr>
                <w:rFonts w:ascii="Arial" w:cs="Arial" w:eastAsia="Arial" w:hAnsi="Arial"/>
                <w:sz w:val="15"/>
                <w:szCs w:val="15"/>
                <w:color w:val="auto"/>
              </w:rPr>
              <w:t>0.43</w:t>
            </w:r>
          </w:p>
        </w:tc>
      </w:tr>
      <w:tr>
        <w:trPr>
          <w:trHeight w:val="20"/>
        </w:trPr>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7"/>
        </w:trPr>
        <w:tc>
          <w:tcPr>
            <w:tcW w:w="8360" w:type="dxa"/>
            <w:vAlign w:val="bottom"/>
            <w:gridSpan w:val="4"/>
            <w:shd w:val="clear" w:color="auto" w:fill="CCEEFF"/>
          </w:tcPr>
          <w:p>
            <w:pPr>
              <w:spacing w:after="0" w:line="167" w:lineRule="exact"/>
              <w:rPr>
                <w:sz w:val="20"/>
                <w:szCs w:val="20"/>
                <w:color w:val="auto"/>
              </w:rPr>
            </w:pPr>
            <w:r>
              <w:rPr>
                <w:rFonts w:ascii="Arial" w:cs="Arial" w:eastAsia="Arial" w:hAnsi="Arial"/>
                <w:sz w:val="15"/>
                <w:szCs w:val="15"/>
                <w:color w:val="auto"/>
              </w:rPr>
              <w:t>Average shares outstanding:</w:t>
            </w:r>
          </w:p>
        </w:tc>
        <w:tc>
          <w:tcPr>
            <w:tcW w:w="9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Basic</w:t>
            </w:r>
          </w:p>
        </w:tc>
        <w:tc>
          <w:tcPr>
            <w:tcW w:w="900" w:type="dxa"/>
            <w:vAlign w:val="bottom"/>
          </w:tcPr>
          <w:p>
            <w:pPr>
              <w:spacing w:after="0"/>
              <w:rPr>
                <w:sz w:val="15"/>
                <w:szCs w:val="15"/>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8,527</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8,413</w:t>
            </w:r>
          </w:p>
        </w:tc>
        <w:tc>
          <w:tcPr>
            <w:tcW w:w="12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7"/>
        </w:trPr>
        <w:tc>
          <w:tcPr>
            <w:tcW w:w="8360" w:type="dxa"/>
            <w:vAlign w:val="bottom"/>
            <w:gridSpan w:val="4"/>
            <w:shd w:val="clear" w:color="auto" w:fill="CCEEFF"/>
          </w:tcPr>
          <w:p>
            <w:pPr>
              <w:ind w:left="120"/>
              <w:spacing w:after="0" w:line="167" w:lineRule="exact"/>
              <w:rPr>
                <w:sz w:val="20"/>
                <w:szCs w:val="20"/>
                <w:color w:val="auto"/>
              </w:rPr>
            </w:pPr>
            <w:r>
              <w:rPr>
                <w:rFonts w:ascii="Arial" w:cs="Arial" w:eastAsia="Arial" w:hAnsi="Arial"/>
                <w:sz w:val="15"/>
                <w:szCs w:val="15"/>
                <w:color w:val="auto"/>
              </w:rPr>
              <w:t>Diluted</w:t>
            </w:r>
          </w:p>
        </w:tc>
        <w:tc>
          <w:tcPr>
            <w:tcW w:w="90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40"/>
              <w:spacing w:after="0" w:line="167" w:lineRule="exact"/>
              <w:rPr>
                <w:sz w:val="20"/>
                <w:szCs w:val="20"/>
                <w:color w:val="auto"/>
              </w:rPr>
            </w:pPr>
            <w:r>
              <w:rPr>
                <w:rFonts w:ascii="Arial" w:cs="Arial" w:eastAsia="Arial" w:hAnsi="Arial"/>
                <w:sz w:val="15"/>
                <w:szCs w:val="15"/>
                <w:color w:val="auto"/>
              </w:rPr>
              <w:t>8,817</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8,605</w:t>
            </w:r>
          </w:p>
        </w:tc>
        <w:tc>
          <w:tcPr>
            <w:tcW w:w="120" w:type="dxa"/>
            <w:vAlign w:val="bottom"/>
            <w:shd w:val="clear" w:color="auto" w:fill="CCEEFF"/>
          </w:tcPr>
          <w:p>
            <w:pPr>
              <w:spacing w:after="0"/>
              <w:rPr>
                <w:sz w:val="17"/>
                <w:szCs w:val="17"/>
                <w:color w:val="auto"/>
              </w:rPr>
            </w:pPr>
          </w:p>
        </w:tc>
      </w:tr>
      <w:tr>
        <w:trPr>
          <w:trHeight w:val="344"/>
        </w:trPr>
        <w:tc>
          <w:tcPr>
            <w:tcW w:w="840" w:type="dxa"/>
            <w:vAlign w:val="bottom"/>
            <w:tcBorders>
              <w:top w:val="single" w:sz="8" w:color="CCEEFF"/>
            </w:tcBorders>
          </w:tcPr>
          <w:p>
            <w:pPr>
              <w:spacing w:after="0"/>
              <w:rPr>
                <w:sz w:val="24"/>
                <w:szCs w:val="24"/>
                <w:color w:val="auto"/>
              </w:rPr>
            </w:pPr>
          </w:p>
        </w:tc>
        <w:tc>
          <w:tcPr>
            <w:tcW w:w="1840" w:type="dxa"/>
            <w:vAlign w:val="bottom"/>
            <w:tcBorders>
              <w:top w:val="single" w:sz="8" w:color="CCEEFF"/>
            </w:tcBorders>
          </w:tcPr>
          <w:p>
            <w:pPr>
              <w:spacing w:after="0"/>
              <w:rPr>
                <w:sz w:val="24"/>
                <w:szCs w:val="24"/>
                <w:color w:val="auto"/>
              </w:rPr>
            </w:pPr>
          </w:p>
        </w:tc>
        <w:tc>
          <w:tcPr>
            <w:tcW w:w="5680" w:type="dxa"/>
            <w:vAlign w:val="bottom"/>
            <w:tcBorders>
              <w:top w:val="single" w:sz="8" w:color="CCEEFF"/>
            </w:tcBorders>
            <w:gridSpan w:val="2"/>
          </w:tcPr>
          <w:p>
            <w:pPr>
              <w:spacing w:after="0"/>
              <w:rPr>
                <w:sz w:val="20"/>
                <w:szCs w:val="20"/>
                <w:color w:val="auto"/>
              </w:rPr>
            </w:pPr>
            <w:r>
              <w:rPr>
                <w:rFonts w:ascii="Arial" w:cs="Arial" w:eastAsia="Arial" w:hAnsi="Arial"/>
                <w:sz w:val="15"/>
                <w:szCs w:val="15"/>
                <w:b w:val="1"/>
                <w:bCs w:val="1"/>
                <w:color w:val="auto"/>
              </w:rPr>
              <w:t>Statements of Comprehensive Income</w:t>
            </w: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89"/>
        </w:trPr>
        <w:tc>
          <w:tcPr>
            <w:tcW w:w="268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2420" w:type="dxa"/>
            <w:vAlign w:val="bottom"/>
            <w:tcBorders>
              <w:top w:val="single" w:sz="8" w:color="auto"/>
            </w:tcBorders>
            <w:shd w:val="clear" w:color="auto" w:fill="CCEEFF"/>
          </w:tcPr>
          <w:p>
            <w:pPr>
              <w:spacing w:after="0"/>
              <w:rPr>
                <w:sz w:val="16"/>
                <w:szCs w:val="16"/>
                <w:color w:val="auto"/>
              </w:rPr>
            </w:pPr>
          </w:p>
        </w:tc>
        <w:tc>
          <w:tcPr>
            <w:tcW w:w="326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4,040</w:t>
            </w:r>
          </w:p>
        </w:tc>
        <w:tc>
          <w:tcPr>
            <w:tcW w:w="3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3,686</w:t>
            </w:r>
          </w:p>
        </w:tc>
        <w:tc>
          <w:tcPr>
            <w:tcW w:w="120" w:type="dxa"/>
            <w:vAlign w:val="bottom"/>
            <w:shd w:val="clear" w:color="auto" w:fill="CCEEFF"/>
          </w:tcPr>
          <w:p>
            <w:pPr>
              <w:spacing w:after="0"/>
              <w:rPr>
                <w:sz w:val="16"/>
                <w:szCs w:val="16"/>
                <w:color w:val="auto"/>
              </w:rPr>
            </w:pPr>
          </w:p>
        </w:tc>
      </w:tr>
      <w:tr>
        <w:trPr>
          <w:trHeight w:val="182"/>
        </w:trPr>
        <w:tc>
          <w:tcPr>
            <w:tcW w:w="8360" w:type="dxa"/>
            <w:vAlign w:val="bottom"/>
            <w:gridSpan w:val="4"/>
          </w:tcPr>
          <w:p>
            <w:pPr>
              <w:spacing w:after="0"/>
              <w:rPr>
                <w:sz w:val="20"/>
                <w:szCs w:val="20"/>
                <w:color w:val="auto"/>
              </w:rPr>
            </w:pPr>
            <w:r>
              <w:rPr>
                <w:rFonts w:ascii="Arial" w:cs="Arial" w:eastAsia="Arial" w:hAnsi="Arial"/>
                <w:sz w:val="15"/>
                <w:szCs w:val="15"/>
                <w:color w:val="auto"/>
              </w:rPr>
              <w:t>Other comprehensive income (loss):</w:t>
            </w: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Foreign currency translation adjustment</w:t>
            </w:r>
          </w:p>
        </w:tc>
        <w:tc>
          <w:tcPr>
            <w:tcW w:w="900" w:type="dxa"/>
            <w:vAlign w:val="bottom"/>
            <w:shd w:val="clear" w:color="auto" w:fill="CCEEFF"/>
          </w:tcPr>
          <w:p>
            <w:pPr>
              <w:spacing w:after="0"/>
              <w:rPr>
                <w:sz w:val="15"/>
                <w:szCs w:val="15"/>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505</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(782)</w:t>
            </w:r>
          </w:p>
        </w:tc>
      </w:tr>
      <w:tr>
        <w:trPr>
          <w:trHeight w:val="182"/>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Change in market value of marketable securities</w:t>
            </w:r>
          </w:p>
        </w:tc>
        <w:tc>
          <w:tcPr>
            <w:tcW w:w="900" w:type="dxa"/>
            <w:vAlign w:val="bottom"/>
          </w:tcPr>
          <w:p>
            <w:pPr>
              <w:spacing w:after="0"/>
              <w:rPr>
                <w:sz w:val="15"/>
                <w:szCs w:val="15"/>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5"/>
                <w:szCs w:val="15"/>
                <w:color w:val="auto"/>
              </w:rPr>
              <w:t>(659)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821</w:t>
            </w:r>
          </w:p>
        </w:tc>
        <w:tc>
          <w:tcPr>
            <w:tcW w:w="120" w:type="dxa"/>
            <w:vAlign w:val="bottom"/>
          </w:tcPr>
          <w:p>
            <w:pPr>
              <w:spacing w:after="0"/>
              <w:rPr>
                <w:sz w:val="15"/>
                <w:szCs w:val="15"/>
                <w:color w:val="auto"/>
              </w:rPr>
            </w:pPr>
          </w:p>
        </w:tc>
      </w:tr>
      <w:tr>
        <w:trPr>
          <w:trHeight w:val="182"/>
        </w:trPr>
        <w:tc>
          <w:tcPr>
            <w:tcW w:w="836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Deferred tax effect of change in marketable securities</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w:t>
            </w: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(296)</w:t>
            </w:r>
          </w:p>
        </w:tc>
      </w:tr>
      <w:tr>
        <w:trPr>
          <w:trHeight w:val="23"/>
        </w:trPr>
        <w:tc>
          <w:tcPr>
            <w:tcW w:w="840" w:type="dxa"/>
            <w:vAlign w:val="bottom"/>
            <w:shd w:val="clear" w:color="auto" w:fill="CCEEFF"/>
          </w:tcPr>
          <w:p>
            <w:pPr>
              <w:spacing w:after="0" w:line="20" w:lineRule="exact"/>
              <w:rPr>
                <w:sz w:val="1"/>
                <w:szCs w:val="1"/>
                <w:color w:val="auto"/>
              </w:rPr>
            </w:pPr>
          </w:p>
        </w:tc>
        <w:tc>
          <w:tcPr>
            <w:tcW w:w="1840" w:type="dxa"/>
            <w:vAlign w:val="bottom"/>
            <w:shd w:val="clear" w:color="auto" w:fill="CCEEFF"/>
          </w:tcPr>
          <w:p>
            <w:pPr>
              <w:spacing w:after="0" w:line="20" w:lineRule="exact"/>
              <w:rPr>
                <w:sz w:val="1"/>
                <w:szCs w:val="1"/>
                <w:color w:val="auto"/>
              </w:rPr>
            </w:pPr>
          </w:p>
        </w:tc>
        <w:tc>
          <w:tcPr>
            <w:tcW w:w="2420" w:type="dxa"/>
            <w:vAlign w:val="bottom"/>
            <w:shd w:val="clear" w:color="auto" w:fill="CCEEFF"/>
          </w:tcPr>
          <w:p>
            <w:pPr>
              <w:spacing w:after="0" w:line="20" w:lineRule="exact"/>
              <w:rPr>
                <w:sz w:val="1"/>
                <w:szCs w:val="1"/>
                <w:color w:val="auto"/>
              </w:rPr>
            </w:pPr>
          </w:p>
        </w:tc>
        <w:tc>
          <w:tcPr>
            <w:tcW w:w="326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4"/>
        </w:trPr>
        <w:tc>
          <w:tcPr>
            <w:tcW w:w="8360" w:type="dxa"/>
            <w:vAlign w:val="bottom"/>
            <w:gridSpan w:val="4"/>
          </w:tcPr>
          <w:p>
            <w:pPr>
              <w:ind w:left="120"/>
              <w:spacing w:after="0"/>
              <w:rPr>
                <w:sz w:val="20"/>
                <w:szCs w:val="20"/>
                <w:color w:val="auto"/>
              </w:rPr>
            </w:pPr>
            <w:r>
              <w:rPr>
                <w:rFonts w:ascii="Arial" w:cs="Arial" w:eastAsia="Arial" w:hAnsi="Arial"/>
                <w:sz w:val="15"/>
                <w:szCs w:val="15"/>
                <w:color w:val="auto"/>
              </w:rPr>
              <w:t>Total other comprehensive income (loss)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101</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5"/>
                <w:szCs w:val="15"/>
                <w:color w:val="auto"/>
              </w:rPr>
              <w:t>(257)</w:t>
            </w:r>
          </w:p>
        </w:tc>
      </w:tr>
      <w:tr>
        <w:trPr>
          <w:trHeight w:val="222"/>
        </w:trPr>
        <w:tc>
          <w:tcPr>
            <w:tcW w:w="836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5"/>
                <w:szCs w:val="15"/>
                <w:color w:val="auto"/>
              </w:rPr>
              <w:t>Comprehensive income</w:t>
            </w:r>
          </w:p>
        </w:tc>
        <w:tc>
          <w:tcPr>
            <w:tcW w:w="900" w:type="dxa"/>
            <w:vAlign w:val="bottom"/>
            <w:tcBorders>
              <w:top w:val="single" w:sz="8" w:color="auto"/>
              <w:bottom w:val="single" w:sz="8" w:color="auto"/>
            </w:tcBorders>
            <w:shd w:val="clear" w:color="auto" w:fill="CCEEFF"/>
          </w:tcPr>
          <w:p>
            <w:pPr>
              <w:jc w:val="right"/>
              <w:ind w:right="744"/>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4,141</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3,429</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38"/>
        </w:trPr>
        <w:tc>
          <w:tcPr>
            <w:tcW w:w="324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48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2400" w:type="dxa"/>
            <w:vAlign w:val="bottom"/>
          </w:tcPr>
          <w:p>
            <w:pPr>
              <w:spacing w:after="0"/>
              <w:rPr>
                <w:sz w:val="24"/>
                <w:szCs w:val="24"/>
                <w:color w:val="auto"/>
              </w:rPr>
            </w:pPr>
          </w:p>
        </w:tc>
        <w:tc>
          <w:tcPr>
            <w:tcW w:w="5660" w:type="dxa"/>
            <w:vAlign w:val="bottom"/>
            <w:gridSpan w:val="2"/>
          </w:tcPr>
          <w:p>
            <w:pPr>
              <w:jc w:val="center"/>
              <w:ind w:right="624"/>
              <w:spacing w:after="0"/>
              <w:rPr>
                <w:sz w:val="20"/>
                <w:szCs w:val="20"/>
                <w:color w:val="auto"/>
              </w:rPr>
            </w:pPr>
            <w:r>
              <w:rPr>
                <w:rFonts w:ascii="Arial" w:cs="Arial" w:eastAsia="Arial" w:hAnsi="Arial"/>
                <w:sz w:val="15"/>
                <w:szCs w:val="15"/>
                <w:b w:val="1"/>
                <w:bCs w:val="1"/>
                <w:color w:val="auto"/>
              </w:rPr>
              <w:t>FREQUENCY ELECTRONICS, INC. and SUBSIDIARIES</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5660" w:type="dxa"/>
            <w:vAlign w:val="bottom"/>
            <w:gridSpan w:val="2"/>
          </w:tcPr>
          <w:p>
            <w:pPr>
              <w:jc w:val="center"/>
              <w:ind w:right="644"/>
              <w:spacing w:after="0"/>
              <w:rPr>
                <w:sz w:val="20"/>
                <w:szCs w:val="20"/>
                <w:color w:val="auto"/>
              </w:rPr>
            </w:pPr>
            <w:r>
              <w:rPr>
                <w:rFonts w:ascii="Arial" w:cs="Arial" w:eastAsia="Arial" w:hAnsi="Arial"/>
                <w:sz w:val="15"/>
                <w:szCs w:val="15"/>
                <w:color w:val="auto"/>
                <w:w w:val="90"/>
              </w:rPr>
              <w:t>Consolidated Statements of Cash Flows</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660" w:type="dxa"/>
            <w:vAlign w:val="bottom"/>
            <w:gridSpan w:val="2"/>
          </w:tcPr>
          <w:p>
            <w:pPr>
              <w:jc w:val="center"/>
              <w:ind w:right="644"/>
              <w:spacing w:after="0"/>
              <w:rPr>
                <w:sz w:val="20"/>
                <w:szCs w:val="20"/>
                <w:color w:val="auto"/>
              </w:rPr>
            </w:pPr>
            <w:r>
              <w:rPr>
                <w:rFonts w:ascii="Arial" w:cs="Arial" w:eastAsia="Arial" w:hAnsi="Arial"/>
                <w:sz w:val="15"/>
                <w:szCs w:val="15"/>
                <w:color w:val="auto"/>
                <w:w w:val="90"/>
              </w:rPr>
              <w:t>Years ended April 30, 2014 and 2013</w:t>
            </w: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84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46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240" w:type="dxa"/>
            <w:vAlign w:val="bottom"/>
            <w:gridSpan w:val="2"/>
            <w:vMerge w:val="restart"/>
          </w:tcPr>
          <w:p>
            <w:pPr>
              <w:spacing w:after="0"/>
              <w:rPr>
                <w:sz w:val="20"/>
                <w:szCs w:val="20"/>
                <w:color w:val="auto"/>
              </w:rPr>
            </w:pPr>
            <w:r>
              <w:rPr>
                <w:rFonts w:ascii="Arial" w:cs="Arial" w:eastAsia="Arial" w:hAnsi="Arial"/>
                <w:sz w:val="15"/>
                <w:szCs w:val="15"/>
                <w:color w:val="auto"/>
              </w:rPr>
              <w:t>Cash flows from operating activities:</w:t>
            </w:r>
          </w:p>
        </w:tc>
        <w:tc>
          <w:tcPr>
            <w:tcW w:w="4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jc w:val="right"/>
              <w:ind w:right="84"/>
              <w:spacing w:after="0"/>
              <w:rPr>
                <w:sz w:val="20"/>
                <w:szCs w:val="20"/>
                <w:color w:val="auto"/>
              </w:rPr>
            </w:pPr>
            <w:r>
              <w:rPr>
                <w:rFonts w:ascii="Arial" w:cs="Arial" w:eastAsia="Arial" w:hAnsi="Arial"/>
                <w:sz w:val="15"/>
                <w:szCs w:val="15"/>
                <w:color w:val="auto"/>
              </w:rPr>
              <w:t>(In</w:t>
            </w:r>
          </w:p>
        </w:tc>
        <w:tc>
          <w:tcPr>
            <w:tcW w:w="640" w:type="dxa"/>
            <w:vAlign w:val="bottom"/>
            <w:gridSpan w:val="2"/>
          </w:tcPr>
          <w:p>
            <w:pPr>
              <w:jc w:val="center"/>
              <w:ind w:right="24"/>
              <w:spacing w:after="0"/>
              <w:rPr>
                <w:sz w:val="20"/>
                <w:szCs w:val="20"/>
                <w:color w:val="auto"/>
              </w:rPr>
            </w:pPr>
            <w:r>
              <w:rPr>
                <w:rFonts w:ascii="Arial" w:cs="Arial" w:eastAsia="Arial" w:hAnsi="Arial"/>
                <w:sz w:val="15"/>
                <w:szCs w:val="15"/>
                <w:color w:val="auto"/>
                <w:w w:val="72"/>
              </w:rPr>
              <w:t>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3240" w:type="dxa"/>
            <w:vAlign w:val="bottom"/>
            <w:gridSpan w:val="2"/>
            <w:vMerge w:val="continue"/>
          </w:tcPr>
          <w:p>
            <w:pPr>
              <w:spacing w:after="0"/>
              <w:rPr>
                <w:sz w:val="14"/>
                <w:szCs w:val="14"/>
                <w:color w:val="auto"/>
              </w:rPr>
            </w:pPr>
          </w:p>
        </w:tc>
        <w:tc>
          <w:tcPr>
            <w:tcW w:w="48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Net income</w:t>
            </w:r>
          </w:p>
        </w:tc>
        <w:tc>
          <w:tcPr>
            <w:tcW w:w="5660" w:type="dxa"/>
            <w:vAlign w:val="bottom"/>
            <w:gridSpan w:val="2"/>
            <w:shd w:val="clear" w:color="auto" w:fill="CCEEFF"/>
          </w:tcPr>
          <w:p>
            <w:pPr>
              <w:jc w:val="right"/>
              <w:ind w:right="72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4,040</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right"/>
              <w:ind w:right="264"/>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3,686</w:t>
            </w:r>
          </w:p>
        </w:tc>
        <w:tc>
          <w:tcPr>
            <w:tcW w:w="0" w:type="dxa"/>
            <w:vAlign w:val="bottom"/>
          </w:tcPr>
          <w:p>
            <w:pPr>
              <w:spacing w:after="0"/>
              <w:rPr>
                <w:sz w:val="1"/>
                <w:szCs w:val="1"/>
                <w:color w:val="auto"/>
              </w:rPr>
            </w:pPr>
          </w:p>
        </w:tc>
      </w:tr>
      <w:tr>
        <w:trPr>
          <w:trHeight w:val="182"/>
        </w:trPr>
        <w:tc>
          <w:tcPr>
            <w:tcW w:w="8900" w:type="dxa"/>
            <w:vAlign w:val="bottom"/>
            <w:gridSpan w:val="4"/>
          </w:tcPr>
          <w:p>
            <w:pPr>
              <w:ind w:left="120"/>
              <w:spacing w:after="0"/>
              <w:rPr>
                <w:sz w:val="20"/>
                <w:szCs w:val="20"/>
                <w:color w:val="auto"/>
              </w:rPr>
            </w:pPr>
            <w:r>
              <w:rPr>
                <w:rFonts w:ascii="Arial" w:cs="Arial" w:eastAsia="Arial" w:hAnsi="Arial"/>
                <w:sz w:val="15"/>
                <w:szCs w:val="15"/>
                <w:color w:val="auto"/>
              </w:rPr>
              <w:t>Adjustments to reconcile net income to net cash provided in operating activities:</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Deferred income tax benefit</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(160)</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(320)</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Depreciation and amortization</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2,471</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2,413</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Deferred lease obligation</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120</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c>
          <w:tcPr>
            <w:tcW w:w="0" w:type="dxa"/>
            <w:vAlign w:val="bottom"/>
          </w:tcPr>
          <w:p>
            <w:pPr>
              <w:spacing w:after="0"/>
              <w:rPr>
                <w:sz w:val="1"/>
                <w:szCs w:val="1"/>
                <w:color w:val="auto"/>
              </w:rPr>
            </w:pPr>
          </w:p>
        </w:tc>
      </w:tr>
      <w:tr>
        <w:trPr>
          <w:trHeight w:val="182"/>
        </w:trPr>
        <w:tc>
          <w:tcPr>
            <w:tcW w:w="8900" w:type="dxa"/>
            <w:vAlign w:val="bottom"/>
            <w:gridSpan w:val="4"/>
          </w:tcPr>
          <w:p>
            <w:pPr>
              <w:ind w:left="260"/>
              <w:spacing w:after="0"/>
              <w:rPr>
                <w:sz w:val="20"/>
                <w:szCs w:val="20"/>
                <w:color w:val="auto"/>
              </w:rPr>
            </w:pPr>
            <w:r>
              <w:rPr>
                <w:rFonts w:ascii="Arial" w:cs="Arial" w:eastAsia="Arial" w:hAnsi="Arial"/>
                <w:sz w:val="15"/>
                <w:szCs w:val="15"/>
                <w:color w:val="auto"/>
              </w:rPr>
              <w:t>Provision for losses on accounts receivable, inventories and warranty reserve</w:t>
            </w:r>
          </w:p>
        </w:tc>
        <w:tc>
          <w:tcPr>
            <w:tcW w:w="680" w:type="dxa"/>
            <w:vAlign w:val="bottom"/>
            <w:gridSpan w:val="2"/>
          </w:tcPr>
          <w:p>
            <w:pPr>
              <w:jc w:val="right"/>
              <w:ind w:right="144"/>
              <w:spacing w:after="0"/>
              <w:rPr>
                <w:sz w:val="20"/>
                <w:szCs w:val="20"/>
                <w:color w:val="auto"/>
              </w:rPr>
            </w:pPr>
            <w:r>
              <w:rPr>
                <w:rFonts w:ascii="Arial" w:cs="Arial" w:eastAsia="Arial" w:hAnsi="Arial"/>
                <w:sz w:val="15"/>
                <w:szCs w:val="15"/>
                <w:color w:val="auto"/>
              </w:rPr>
              <w:t>254</w:t>
            </w: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2,146</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Gains on marketable securities</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(367)</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(47)</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w w:val="91"/>
              </w:rPr>
              <w:t>(Gain) loss on sale of fixed and other assets, net</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(667)</w:t>
            </w: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45</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Employee benefit plans expense</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1,246</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1,072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Stock-based compensation expense</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1,105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947</w:t>
            </w:r>
          </w:p>
        </w:tc>
        <w:tc>
          <w:tcPr>
            <w:tcW w:w="0" w:type="dxa"/>
            <w:vAlign w:val="bottom"/>
          </w:tcPr>
          <w:p>
            <w:pPr>
              <w:spacing w:after="0"/>
              <w:rPr>
                <w:sz w:val="1"/>
                <w:szCs w:val="1"/>
                <w:color w:val="auto"/>
              </w:rPr>
            </w:pPr>
          </w:p>
        </w:tc>
      </w:tr>
      <w:tr>
        <w:trPr>
          <w:trHeight w:val="182"/>
        </w:trPr>
        <w:tc>
          <w:tcPr>
            <w:tcW w:w="8900" w:type="dxa"/>
            <w:vAlign w:val="bottom"/>
            <w:gridSpan w:val="4"/>
            <w:shd w:val="clear" w:color="auto" w:fill="CCEEFF"/>
          </w:tcPr>
          <w:p>
            <w:pPr>
              <w:ind w:left="260"/>
              <w:spacing w:after="0"/>
              <w:rPr>
                <w:sz w:val="20"/>
                <w:szCs w:val="20"/>
                <w:color w:val="auto"/>
              </w:rPr>
            </w:pPr>
            <w:r>
              <w:rPr>
                <w:rFonts w:ascii="Arial" w:cs="Arial" w:eastAsia="Arial" w:hAnsi="Arial"/>
                <w:sz w:val="15"/>
                <w:szCs w:val="15"/>
                <w:color w:val="auto"/>
              </w:rPr>
              <w:t>Tax benefit from exercise of stock-based compensation</w:t>
            </w: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(182)</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182"/>
        </w:trPr>
        <w:tc>
          <w:tcPr>
            <w:tcW w:w="3240" w:type="dxa"/>
            <w:vAlign w:val="bottom"/>
            <w:gridSpan w:val="2"/>
          </w:tcPr>
          <w:p>
            <w:pPr>
              <w:spacing w:after="0"/>
              <w:rPr>
                <w:sz w:val="20"/>
                <w:szCs w:val="20"/>
                <w:color w:val="auto"/>
              </w:rPr>
            </w:pPr>
            <w:r>
              <w:rPr>
                <w:rFonts w:ascii="Arial" w:cs="Arial" w:eastAsia="Arial" w:hAnsi="Arial"/>
                <w:sz w:val="15"/>
                <w:szCs w:val="15"/>
                <w:color w:val="auto"/>
              </w:rPr>
              <w:t>Changes in operating assets and liabilities: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Accounts receivable</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(1,631)</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465</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Inventories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(3,102)</w:t>
            </w: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(6,017)</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Prepaid expenses and other</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423</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(133)</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Other assets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(703)</w:t>
            </w: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(614)</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Accounts payable - trade</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614</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(502)</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Accrued liabilities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(88)</w:t>
            </w: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895</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Income taxes refundable/payable</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688</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(1,071)</w:t>
            </w:r>
          </w:p>
        </w:tc>
        <w:tc>
          <w:tcPr>
            <w:tcW w:w="0" w:type="dxa"/>
            <w:vAlign w:val="bottom"/>
          </w:tcPr>
          <w:p>
            <w:pPr>
              <w:spacing w:after="0"/>
              <w:rPr>
                <w:sz w:val="1"/>
                <w:szCs w:val="1"/>
                <w:color w:val="auto"/>
              </w:rPr>
            </w:pPr>
          </w:p>
        </w:tc>
      </w:tr>
      <w:tr>
        <w:trPr>
          <w:trHeight w:val="184"/>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Other liabilities</w:t>
            </w:r>
          </w:p>
        </w:tc>
        <w:tc>
          <w:tcPr>
            <w:tcW w:w="48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(419)</w:t>
            </w:r>
          </w:p>
        </w:tc>
        <w:tc>
          <w:tcPr>
            <w:tcW w:w="4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88</w:t>
            </w:r>
          </w:p>
        </w:tc>
        <w:tc>
          <w:tcPr>
            <w:tcW w:w="0" w:type="dxa"/>
            <w:vAlign w:val="bottom"/>
          </w:tcPr>
          <w:p>
            <w:pPr>
              <w:spacing w:after="0"/>
              <w:rPr>
                <w:sz w:val="1"/>
                <w:szCs w:val="1"/>
                <w:color w:val="auto"/>
              </w:rPr>
            </w:pPr>
          </w:p>
        </w:tc>
      </w:tr>
      <w:tr>
        <w:trPr>
          <w:trHeight w:val="184"/>
        </w:trPr>
        <w:tc>
          <w:tcPr>
            <w:tcW w:w="3240" w:type="dxa"/>
            <w:vAlign w:val="bottom"/>
            <w:tcBorders>
              <w:bottom w:val="single" w:sz="8" w:color="CCEEFF"/>
            </w:tcBorders>
            <w:gridSpan w:val="2"/>
            <w:shd w:val="clear" w:color="auto" w:fill="CCEEFF"/>
          </w:tcPr>
          <w:p>
            <w:pPr>
              <w:ind w:left="400"/>
              <w:spacing w:after="0"/>
              <w:rPr>
                <w:sz w:val="20"/>
                <w:szCs w:val="20"/>
                <w:color w:val="auto"/>
              </w:rPr>
            </w:pPr>
            <w:r>
              <w:rPr>
                <w:rFonts w:ascii="Arial" w:cs="Arial" w:eastAsia="Arial" w:hAnsi="Arial"/>
                <w:sz w:val="15"/>
                <w:szCs w:val="15"/>
                <w:color w:val="auto"/>
              </w:rPr>
              <w:t>Net cash provided by operating activities</w:t>
            </w:r>
          </w:p>
        </w:tc>
        <w:tc>
          <w:tcPr>
            <w:tcW w:w="48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top w:val="single" w:sz="8" w:color="auto"/>
              <w:bottom w:val="single" w:sz="8" w:color="auto"/>
            </w:tcBorders>
            <w:shd w:val="clear" w:color="auto" w:fill="CCEEFF"/>
          </w:tcPr>
          <w:p>
            <w:pPr>
              <w:spacing w:after="0"/>
              <w:rPr>
                <w:sz w:val="16"/>
                <w:szCs w:val="16"/>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3,642</w:t>
            </w:r>
          </w:p>
        </w:tc>
        <w:tc>
          <w:tcPr>
            <w:tcW w:w="2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top w:val="single" w:sz="8" w:color="auto"/>
              <w:bottom w:val="single" w:sz="8" w:color="auto"/>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2,833</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Cash flows from investing activities:</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Purchase of marketable securities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(3,162)</w:t>
            </w: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(2,836)</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92"/>
              </w:rPr>
              <w:t>Proceeds from sale or redemption of marketable</w:t>
            </w:r>
          </w:p>
        </w:tc>
        <w:tc>
          <w:tcPr>
            <w:tcW w:w="5660" w:type="dxa"/>
            <w:vAlign w:val="bottom"/>
            <w:gridSpan w:val="2"/>
            <w:shd w:val="clear" w:color="auto" w:fill="CCEEFF"/>
          </w:tcPr>
          <w:p>
            <w:pPr>
              <w:jc w:val="right"/>
              <w:ind w:right="4964"/>
              <w:spacing w:after="0"/>
              <w:rPr>
                <w:sz w:val="20"/>
                <w:szCs w:val="20"/>
                <w:color w:val="auto"/>
              </w:rPr>
            </w:pPr>
            <w:r>
              <w:rPr>
                <w:rFonts w:ascii="Arial" w:cs="Arial" w:eastAsia="Arial" w:hAnsi="Arial"/>
                <w:sz w:val="15"/>
                <w:szCs w:val="15"/>
                <w:color w:val="auto"/>
                <w:w w:val="94"/>
              </w:rPr>
              <w:t>securities</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4,993</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3,006</w:t>
            </w:r>
          </w:p>
        </w:tc>
        <w:tc>
          <w:tcPr>
            <w:tcW w:w="0" w:type="dxa"/>
            <w:vAlign w:val="bottom"/>
          </w:tcPr>
          <w:p>
            <w:pPr>
              <w:spacing w:after="0"/>
              <w:rPr>
                <w:sz w:val="1"/>
                <w:szCs w:val="1"/>
                <w:color w:val="auto"/>
              </w:rPr>
            </w:pPr>
          </w:p>
        </w:tc>
      </w:tr>
      <w:tr>
        <w:trPr>
          <w:trHeight w:val="182"/>
        </w:trPr>
        <w:tc>
          <w:tcPr>
            <w:tcW w:w="3240" w:type="dxa"/>
            <w:vAlign w:val="bottom"/>
            <w:gridSpan w:val="2"/>
          </w:tcPr>
          <w:p>
            <w:pPr>
              <w:ind w:left="260"/>
              <w:spacing w:after="0"/>
              <w:rPr>
                <w:sz w:val="20"/>
                <w:szCs w:val="20"/>
                <w:color w:val="auto"/>
              </w:rPr>
            </w:pPr>
            <w:r>
              <w:rPr>
                <w:rFonts w:ascii="Arial" w:cs="Arial" w:eastAsia="Arial" w:hAnsi="Arial"/>
                <w:sz w:val="15"/>
                <w:szCs w:val="15"/>
                <w:color w:val="auto"/>
              </w:rPr>
              <w:t>Proceeds from sale of fixed assets (a)</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67</w:t>
            </w:r>
          </w:p>
        </w:tc>
        <w:tc>
          <w:tcPr>
            <w:tcW w:w="0" w:type="dxa"/>
            <w:vAlign w:val="bottom"/>
          </w:tcPr>
          <w:p>
            <w:pPr>
              <w:spacing w:after="0"/>
              <w:rPr>
                <w:sz w:val="1"/>
                <w:szCs w:val="1"/>
                <w:color w:val="auto"/>
              </w:rPr>
            </w:pPr>
          </w:p>
        </w:tc>
      </w:tr>
      <w:tr>
        <w:trPr>
          <w:trHeight w:val="182"/>
        </w:trPr>
        <w:tc>
          <w:tcPr>
            <w:tcW w:w="32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Capital expenditures</w:t>
            </w:r>
          </w:p>
        </w:tc>
        <w:tc>
          <w:tcPr>
            <w:tcW w:w="48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84"/>
              <w:spacing w:after="0"/>
              <w:rPr>
                <w:sz w:val="20"/>
                <w:szCs w:val="20"/>
                <w:color w:val="auto"/>
              </w:rPr>
            </w:pPr>
            <w:r>
              <w:rPr>
                <w:rFonts w:ascii="Arial" w:cs="Arial" w:eastAsia="Arial" w:hAnsi="Arial"/>
                <w:sz w:val="15"/>
                <w:szCs w:val="15"/>
                <w:color w:val="auto"/>
              </w:rPr>
              <w:t>(5,405)</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(2,250)</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2400" w:type="dxa"/>
            <w:vAlign w:val="bottom"/>
            <w:shd w:val="clear" w:color="auto" w:fill="CCEEFF"/>
          </w:tcPr>
          <w:p>
            <w:pPr>
              <w:spacing w:after="0" w:line="20" w:lineRule="exact"/>
              <w:rPr>
                <w:sz w:val="1"/>
                <w:szCs w:val="1"/>
                <w:color w:val="auto"/>
              </w:rPr>
            </w:pPr>
          </w:p>
        </w:tc>
        <w:tc>
          <w:tcPr>
            <w:tcW w:w="480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3240" w:type="dxa"/>
            <w:vAlign w:val="bottom"/>
            <w:gridSpan w:val="2"/>
          </w:tcPr>
          <w:p>
            <w:pPr>
              <w:ind w:left="400"/>
              <w:spacing w:after="0"/>
              <w:rPr>
                <w:sz w:val="20"/>
                <w:szCs w:val="20"/>
                <w:color w:val="auto"/>
              </w:rPr>
            </w:pPr>
            <w:r>
              <w:rPr>
                <w:rFonts w:ascii="Arial" w:cs="Arial" w:eastAsia="Arial" w:hAnsi="Arial"/>
                <w:sz w:val="15"/>
                <w:szCs w:val="15"/>
                <w:color w:val="auto"/>
              </w:rPr>
              <w:t>Net cash used in investing activities</w:t>
            </w:r>
          </w:p>
        </w:tc>
        <w:tc>
          <w:tcPr>
            <w:tcW w:w="48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gridSpan w:val="2"/>
          </w:tcPr>
          <w:p>
            <w:pPr>
              <w:jc w:val="right"/>
              <w:ind w:right="84"/>
              <w:spacing w:after="0"/>
              <w:rPr>
                <w:sz w:val="20"/>
                <w:szCs w:val="20"/>
                <w:color w:val="auto"/>
              </w:rPr>
            </w:pPr>
            <w:r>
              <w:rPr>
                <w:rFonts w:ascii="Arial" w:cs="Arial" w:eastAsia="Arial" w:hAnsi="Arial"/>
                <w:sz w:val="15"/>
                <w:szCs w:val="15"/>
                <w:color w:val="auto"/>
              </w:rPr>
              <w:t>(3,574)</w:t>
            </w: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(2,013)</w:t>
            </w: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Continued</w:t>
      </w:r>
    </w:p>
    <w:p>
      <w:pPr>
        <w:spacing w:after="0" w:line="338" w:lineRule="exact"/>
        <w:rPr>
          <w:sz w:val="20"/>
          <w:szCs w:val="20"/>
          <w:color w:val="auto"/>
        </w:rPr>
      </w:pPr>
    </w:p>
    <w:p>
      <w:pPr>
        <w:jc w:val="center"/>
        <w:ind w:right="-4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000"/>
          </w:cols>
          <w:pgMar w:left="240" w:top="115" w:right="65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38"/>
        </w:trPr>
        <w:tc>
          <w:tcPr>
            <w:tcW w:w="804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9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7200" w:type="dxa"/>
            <w:vAlign w:val="bottom"/>
          </w:tcPr>
          <w:p>
            <w:pPr>
              <w:jc w:val="center"/>
              <w:ind w:left="2484"/>
              <w:spacing w:after="0"/>
              <w:rPr>
                <w:sz w:val="20"/>
                <w:szCs w:val="20"/>
                <w:color w:val="auto"/>
              </w:rPr>
            </w:pPr>
            <w:r>
              <w:rPr>
                <w:rFonts w:ascii="Arial" w:cs="Arial" w:eastAsia="Arial" w:hAnsi="Arial"/>
                <w:sz w:val="15"/>
                <w:szCs w:val="15"/>
                <w:b w:val="1"/>
                <w:bCs w:val="1"/>
                <w:color w:val="auto"/>
              </w:rPr>
              <w:t>FREQUENCY ELECTRONICS, INC. and SUBSIDIARIES</w:t>
            </w:r>
          </w:p>
        </w:tc>
        <w:tc>
          <w:tcPr>
            <w:tcW w:w="9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7200" w:type="dxa"/>
            <w:vAlign w:val="bottom"/>
          </w:tcPr>
          <w:p>
            <w:pPr>
              <w:jc w:val="center"/>
              <w:ind w:left="2464"/>
              <w:spacing w:after="0"/>
              <w:rPr>
                <w:sz w:val="20"/>
                <w:szCs w:val="20"/>
                <w:color w:val="auto"/>
              </w:rPr>
            </w:pPr>
            <w:r>
              <w:rPr>
                <w:rFonts w:ascii="Arial" w:cs="Arial" w:eastAsia="Arial" w:hAnsi="Arial"/>
                <w:sz w:val="15"/>
                <w:szCs w:val="15"/>
                <w:color w:val="auto"/>
                <w:w w:val="90"/>
              </w:rPr>
              <w:t>Consolidated Statements of Cash Flows</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7200" w:type="dxa"/>
            <w:vAlign w:val="bottom"/>
          </w:tcPr>
          <w:p>
            <w:pPr>
              <w:jc w:val="center"/>
              <w:ind w:left="2464"/>
              <w:spacing w:after="0"/>
              <w:rPr>
                <w:sz w:val="20"/>
                <w:szCs w:val="20"/>
                <w:color w:val="auto"/>
              </w:rPr>
            </w:pPr>
            <w:r>
              <w:rPr>
                <w:rFonts w:ascii="Arial" w:cs="Arial" w:eastAsia="Arial" w:hAnsi="Arial"/>
                <w:sz w:val="15"/>
                <w:szCs w:val="15"/>
                <w:color w:val="auto"/>
                <w:w w:val="90"/>
              </w:rPr>
              <w:t>Years ended April 30, 2014 and 2013</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7200" w:type="dxa"/>
            <w:vAlign w:val="bottom"/>
          </w:tcPr>
          <w:p>
            <w:pPr>
              <w:jc w:val="center"/>
              <w:ind w:left="2464"/>
              <w:spacing w:after="0"/>
              <w:rPr>
                <w:sz w:val="20"/>
                <w:szCs w:val="20"/>
                <w:color w:val="auto"/>
              </w:rPr>
            </w:pPr>
            <w:r>
              <w:rPr>
                <w:rFonts w:ascii="Arial" w:cs="Arial" w:eastAsia="Arial" w:hAnsi="Arial"/>
                <w:sz w:val="15"/>
                <w:szCs w:val="15"/>
                <w:color w:val="auto"/>
                <w:w w:val="94"/>
              </w:rPr>
              <w:t>(Continued)</w:t>
            </w:r>
          </w:p>
        </w:tc>
        <w:tc>
          <w:tcPr>
            <w:tcW w:w="9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0"/>
        </w:trPr>
        <w:tc>
          <w:tcPr>
            <w:tcW w:w="840" w:type="dxa"/>
            <w:vAlign w:val="bottom"/>
          </w:tcPr>
          <w:p>
            <w:pPr>
              <w:spacing w:after="0"/>
              <w:rPr>
                <w:sz w:val="24"/>
                <w:szCs w:val="24"/>
                <w:color w:val="auto"/>
              </w:rPr>
            </w:pPr>
          </w:p>
        </w:tc>
        <w:tc>
          <w:tcPr>
            <w:tcW w:w="7200" w:type="dxa"/>
            <w:vAlign w:val="bottom"/>
          </w:tcPr>
          <w:p>
            <w:pPr>
              <w:spacing w:after="0"/>
              <w:rPr>
                <w:sz w:val="24"/>
                <w:szCs w:val="24"/>
                <w:color w:val="auto"/>
              </w:rPr>
            </w:pPr>
          </w:p>
        </w:tc>
        <w:tc>
          <w:tcPr>
            <w:tcW w:w="900" w:type="dxa"/>
            <w:vAlign w:val="bottom"/>
            <w:tcBorders>
              <w:bottom w:val="single" w:sz="8" w:color="auto"/>
            </w:tcBorders>
          </w:tcPr>
          <w:p>
            <w:pPr>
              <w:jc w:val="right"/>
              <w:ind w:right="46"/>
              <w:spacing w:after="0"/>
              <w:rPr>
                <w:sz w:val="20"/>
                <w:szCs w:val="20"/>
                <w:color w:val="auto"/>
              </w:rPr>
            </w:pPr>
            <w:r>
              <w:rPr>
                <w:rFonts w:ascii="Arial" w:cs="Arial" w:eastAsia="Arial" w:hAnsi="Arial"/>
                <w:sz w:val="15"/>
                <w:szCs w:val="15"/>
                <w:b w:val="1"/>
                <w:bCs w:val="1"/>
                <w:color w:val="auto"/>
              </w:rPr>
              <w:t>2014</w:t>
            </w:r>
          </w:p>
        </w:tc>
        <w:tc>
          <w:tcPr>
            <w:tcW w:w="4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2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040" w:type="dxa"/>
            <w:vAlign w:val="bottom"/>
            <w:gridSpan w:val="2"/>
            <w:vMerge w:val="restart"/>
          </w:tcPr>
          <w:p>
            <w:pPr>
              <w:spacing w:after="0"/>
              <w:rPr>
                <w:sz w:val="20"/>
                <w:szCs w:val="20"/>
                <w:color w:val="auto"/>
              </w:rPr>
            </w:pPr>
            <w:r>
              <w:rPr>
                <w:rFonts w:ascii="Arial" w:cs="Arial" w:eastAsia="Arial" w:hAnsi="Arial"/>
                <w:sz w:val="15"/>
                <w:szCs w:val="15"/>
                <w:color w:val="auto"/>
              </w:rPr>
              <w:t>Cash flows from financing activities:</w:t>
            </w:r>
          </w:p>
        </w:tc>
        <w:tc>
          <w:tcPr>
            <w:tcW w:w="900" w:type="dxa"/>
            <w:vAlign w:val="bottom"/>
          </w:tcPr>
          <w:p>
            <w:pPr>
              <w:spacing w:after="0"/>
              <w:rPr>
                <w:sz w:val="16"/>
                <w:szCs w:val="16"/>
                <w:color w:val="auto"/>
              </w:rPr>
            </w:pPr>
          </w:p>
        </w:tc>
        <w:tc>
          <w:tcPr>
            <w:tcW w:w="420" w:type="dxa"/>
            <w:vAlign w:val="bottom"/>
          </w:tcPr>
          <w:p>
            <w:pPr>
              <w:jc w:val="right"/>
              <w:ind w:right="84"/>
              <w:spacing w:after="0"/>
              <w:rPr>
                <w:sz w:val="20"/>
                <w:szCs w:val="20"/>
                <w:color w:val="auto"/>
              </w:rPr>
            </w:pPr>
            <w:r>
              <w:rPr>
                <w:rFonts w:ascii="Arial" w:cs="Arial" w:eastAsia="Arial" w:hAnsi="Arial"/>
                <w:sz w:val="15"/>
                <w:szCs w:val="15"/>
                <w:color w:val="auto"/>
              </w:rPr>
              <w:t>(In</w:t>
            </w:r>
          </w:p>
        </w:tc>
        <w:tc>
          <w:tcPr>
            <w:tcW w:w="640" w:type="dxa"/>
            <w:vAlign w:val="bottom"/>
            <w:gridSpan w:val="2"/>
          </w:tcPr>
          <w:p>
            <w:pPr>
              <w:jc w:val="center"/>
              <w:ind w:right="24"/>
              <w:spacing w:after="0"/>
              <w:rPr>
                <w:sz w:val="20"/>
                <w:szCs w:val="20"/>
                <w:color w:val="auto"/>
              </w:rPr>
            </w:pPr>
            <w:r>
              <w:rPr>
                <w:rFonts w:ascii="Arial" w:cs="Arial" w:eastAsia="Arial" w:hAnsi="Arial"/>
                <w:sz w:val="15"/>
                <w:szCs w:val="15"/>
                <w:color w:val="auto"/>
                <w:w w:val="72"/>
              </w:rPr>
              <w:t>thousands)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804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credit line borrowing</w:t>
            </w:r>
          </w:p>
        </w:tc>
        <w:tc>
          <w:tcPr>
            <w:tcW w:w="900" w:type="dxa"/>
            <w:vAlign w:val="bottom"/>
            <w:shd w:val="clear" w:color="auto" w:fill="CCEEFF"/>
          </w:tcPr>
          <w:p>
            <w:pPr>
              <w:jc w:val="right"/>
              <w:ind w:right="786"/>
              <w:spacing w:after="0"/>
              <w:rPr>
                <w:sz w:val="20"/>
                <w:szCs w:val="20"/>
                <w:color w:val="auto"/>
              </w:rPr>
            </w:pPr>
            <w:r>
              <w:rPr>
                <w:rFonts w:ascii="Arial" w:cs="Arial" w:eastAsia="Arial" w:hAnsi="Arial"/>
                <w:sz w:val="10"/>
                <w:szCs w:val="10"/>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4,100</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jc w:val="center"/>
              <w:ind w:right="264"/>
              <w:spacing w:after="0"/>
              <w:rPr>
                <w:sz w:val="20"/>
                <w:szCs w:val="20"/>
                <w:color w:val="auto"/>
              </w:rPr>
            </w:pPr>
            <w:r>
              <w:rPr>
                <w:rFonts w:ascii="Arial" w:cs="Arial" w:eastAsia="Arial" w:hAnsi="Arial"/>
                <w:sz w:val="15"/>
                <w:szCs w:val="15"/>
                <w:color w:val="auto"/>
                <w:w w:val="95"/>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5,000</w:t>
            </w:r>
          </w:p>
        </w:tc>
        <w:tc>
          <w:tcPr>
            <w:tcW w:w="0" w:type="dxa"/>
            <w:vAlign w:val="bottom"/>
          </w:tcPr>
          <w:p>
            <w:pPr>
              <w:spacing w:after="0"/>
              <w:rPr>
                <w:sz w:val="1"/>
                <w:szCs w:val="1"/>
                <w:color w:val="auto"/>
              </w:rPr>
            </w:pPr>
          </w:p>
        </w:tc>
      </w:tr>
      <w:tr>
        <w:trPr>
          <w:trHeight w:val="182"/>
        </w:trPr>
        <w:tc>
          <w:tcPr>
            <w:tcW w:w="8040" w:type="dxa"/>
            <w:vAlign w:val="bottom"/>
            <w:gridSpan w:val="2"/>
          </w:tcPr>
          <w:p>
            <w:pPr>
              <w:ind w:left="120"/>
              <w:spacing w:after="0"/>
              <w:rPr>
                <w:sz w:val="20"/>
                <w:szCs w:val="20"/>
                <w:color w:val="auto"/>
              </w:rPr>
            </w:pPr>
            <w:r>
              <w:rPr>
                <w:rFonts w:ascii="Arial" w:cs="Arial" w:eastAsia="Arial" w:hAnsi="Arial"/>
                <w:sz w:val="15"/>
                <w:szCs w:val="15"/>
                <w:color w:val="auto"/>
              </w:rPr>
              <w:t>Payment of short-term credit and lease obligations</w:t>
            </w:r>
          </w:p>
        </w:tc>
        <w:tc>
          <w:tcPr>
            <w:tcW w:w="900" w:type="dxa"/>
            <w:vAlign w:val="bottom"/>
          </w:tcPr>
          <w:p>
            <w:pPr>
              <w:spacing w:after="0"/>
              <w:rPr>
                <w:sz w:val="15"/>
                <w:szCs w:val="15"/>
                <w:color w:val="auto"/>
              </w:rPr>
            </w:pPr>
          </w:p>
        </w:tc>
        <w:tc>
          <w:tcPr>
            <w:tcW w:w="640" w:type="dxa"/>
            <w:vAlign w:val="bottom"/>
            <w:gridSpan w:val="2"/>
          </w:tcPr>
          <w:p>
            <w:pPr>
              <w:jc w:val="right"/>
              <w:ind w:right="84"/>
              <w:spacing w:after="0"/>
              <w:rPr>
                <w:sz w:val="20"/>
                <w:szCs w:val="20"/>
                <w:color w:val="auto"/>
              </w:rPr>
            </w:pPr>
            <w:r>
              <w:rPr>
                <w:rFonts w:ascii="Arial" w:cs="Arial" w:eastAsia="Arial" w:hAnsi="Arial"/>
                <w:sz w:val="15"/>
                <w:szCs w:val="15"/>
                <w:color w:val="auto"/>
              </w:rPr>
              <w:t>(15)</w:t>
            </w: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(5,357)</w:t>
            </w:r>
          </w:p>
        </w:tc>
        <w:tc>
          <w:tcPr>
            <w:tcW w:w="0" w:type="dxa"/>
            <w:vAlign w:val="bottom"/>
          </w:tcPr>
          <w:p>
            <w:pPr>
              <w:spacing w:after="0"/>
              <w:rPr>
                <w:sz w:val="1"/>
                <w:szCs w:val="1"/>
                <w:color w:val="auto"/>
              </w:rPr>
            </w:pPr>
          </w:p>
        </w:tc>
      </w:tr>
      <w:tr>
        <w:trPr>
          <w:trHeight w:val="182"/>
        </w:trPr>
        <w:tc>
          <w:tcPr>
            <w:tcW w:w="80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Proceeds from exercise of stock options</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82"/>
        </w:trPr>
        <w:tc>
          <w:tcPr>
            <w:tcW w:w="8040" w:type="dxa"/>
            <w:vAlign w:val="bottom"/>
            <w:gridSpan w:val="2"/>
          </w:tcPr>
          <w:p>
            <w:pPr>
              <w:ind w:left="120"/>
              <w:spacing w:after="0"/>
              <w:rPr>
                <w:sz w:val="20"/>
                <w:szCs w:val="20"/>
                <w:color w:val="auto"/>
              </w:rPr>
            </w:pPr>
            <w:r>
              <w:rPr>
                <w:rFonts w:ascii="Arial" w:cs="Arial" w:eastAsia="Arial" w:hAnsi="Arial"/>
                <w:sz w:val="15"/>
                <w:szCs w:val="15"/>
                <w:color w:val="auto"/>
              </w:rPr>
              <w:t>Dividends paid</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(1,684)</w:t>
            </w:r>
          </w:p>
        </w:tc>
        <w:tc>
          <w:tcPr>
            <w:tcW w:w="0" w:type="dxa"/>
            <w:vAlign w:val="bottom"/>
          </w:tcPr>
          <w:p>
            <w:pPr>
              <w:spacing w:after="0"/>
              <w:rPr>
                <w:sz w:val="1"/>
                <w:szCs w:val="1"/>
                <w:color w:val="auto"/>
              </w:rPr>
            </w:pPr>
          </w:p>
        </w:tc>
      </w:tr>
      <w:tr>
        <w:trPr>
          <w:trHeight w:val="182"/>
        </w:trPr>
        <w:tc>
          <w:tcPr>
            <w:tcW w:w="80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Tax benefit from exercise of stock-based compensation</w:t>
            </w:r>
          </w:p>
        </w:tc>
        <w:tc>
          <w:tcPr>
            <w:tcW w:w="9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144"/>
              <w:spacing w:after="0"/>
              <w:rPr>
                <w:sz w:val="20"/>
                <w:szCs w:val="20"/>
                <w:color w:val="auto"/>
              </w:rPr>
            </w:pPr>
            <w:r>
              <w:rPr>
                <w:rFonts w:ascii="Arial" w:cs="Arial" w:eastAsia="Arial" w:hAnsi="Arial"/>
                <w:sz w:val="15"/>
                <w:szCs w:val="15"/>
                <w:color w:val="auto"/>
              </w:rPr>
              <w:t>182</w:t>
            </w:r>
          </w:p>
        </w:tc>
        <w:tc>
          <w:tcPr>
            <w:tcW w:w="4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152</w:t>
            </w:r>
          </w:p>
        </w:tc>
        <w:tc>
          <w:tcPr>
            <w:tcW w:w="0" w:type="dxa"/>
            <w:vAlign w:val="bottom"/>
          </w:tcPr>
          <w:p>
            <w:pPr>
              <w:spacing w:after="0"/>
              <w:rPr>
                <w:sz w:val="1"/>
                <w:szCs w:val="1"/>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7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Net cash provided by (used in) financing activities</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4,267</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(1,869)</w:t>
            </w: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 equivalents before effect of exchange rate changes</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4,335</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(1,049)</w:t>
            </w: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gridSpan w:val="2"/>
          </w:tcPr>
          <w:p>
            <w:pPr>
              <w:spacing w:after="0"/>
              <w:rPr>
                <w:sz w:val="20"/>
                <w:szCs w:val="20"/>
                <w:color w:val="auto"/>
              </w:rPr>
            </w:pPr>
            <w:r>
              <w:rPr>
                <w:rFonts w:ascii="Arial" w:cs="Arial" w:eastAsia="Arial" w:hAnsi="Arial"/>
                <w:sz w:val="15"/>
                <w:szCs w:val="15"/>
                <w:color w:val="auto"/>
              </w:rPr>
              <w:t>Effect of exchange rate changes on cash and cash equivalents</w:t>
            </w:r>
          </w:p>
        </w:tc>
        <w:tc>
          <w:tcPr>
            <w:tcW w:w="900" w:type="dxa"/>
            <w:vAlign w:val="bottom"/>
          </w:tcPr>
          <w:p>
            <w:pPr>
              <w:spacing w:after="0"/>
              <w:rPr>
                <w:sz w:val="16"/>
                <w:szCs w:val="16"/>
                <w:color w:val="auto"/>
              </w:rPr>
            </w:pPr>
          </w:p>
        </w:tc>
        <w:tc>
          <w:tcPr>
            <w:tcW w:w="640" w:type="dxa"/>
            <w:vAlign w:val="bottom"/>
            <w:gridSpan w:val="2"/>
          </w:tcPr>
          <w:p>
            <w:pPr>
              <w:jc w:val="right"/>
              <w:ind w:right="84"/>
              <w:spacing w:after="0"/>
              <w:rPr>
                <w:sz w:val="20"/>
                <w:szCs w:val="20"/>
                <w:color w:val="auto"/>
              </w:rPr>
            </w:pPr>
            <w:r>
              <w:rPr>
                <w:rFonts w:ascii="Arial" w:cs="Arial" w:eastAsia="Arial" w:hAnsi="Arial"/>
                <w:sz w:val="15"/>
                <w:szCs w:val="15"/>
                <w:color w:val="auto"/>
              </w:rPr>
              <w:t>(97)</w:t>
            </w:r>
          </w:p>
        </w:tc>
        <w:tc>
          <w:tcPr>
            <w:tcW w:w="420" w:type="dxa"/>
            <w:vAlign w:val="bottom"/>
          </w:tcPr>
          <w:p>
            <w:pPr>
              <w:spacing w:after="0"/>
              <w:rPr>
                <w:sz w:val="16"/>
                <w:szCs w:val="16"/>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(273)</w:t>
            </w: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gridSpan w:val="2"/>
          </w:tcPr>
          <w:p>
            <w:pPr>
              <w:spacing w:after="0"/>
              <w:rPr>
                <w:sz w:val="20"/>
                <w:szCs w:val="20"/>
                <w:color w:val="auto"/>
              </w:rPr>
            </w:pPr>
            <w:r>
              <w:rPr>
                <w:rFonts w:ascii="Arial" w:cs="Arial" w:eastAsia="Arial" w:hAnsi="Arial"/>
                <w:sz w:val="15"/>
                <w:szCs w:val="15"/>
                <w:color w:val="auto"/>
              </w:rPr>
              <w:t>Net increase (decrease) in cash and cash equivalents</w:t>
            </w:r>
          </w:p>
        </w:tc>
        <w:tc>
          <w:tcPr>
            <w:tcW w:w="90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4,238</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5"/>
                <w:szCs w:val="15"/>
                <w:color w:val="auto"/>
              </w:rPr>
              <w:t>(1,322)</w:t>
            </w: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040" w:type="dxa"/>
            <w:vAlign w:val="bottom"/>
            <w:gridSpan w:val="2"/>
          </w:tcPr>
          <w:p>
            <w:pPr>
              <w:spacing w:after="0"/>
              <w:rPr>
                <w:sz w:val="20"/>
                <w:szCs w:val="20"/>
                <w:color w:val="auto"/>
              </w:rPr>
            </w:pPr>
            <w:r>
              <w:rPr>
                <w:rFonts w:ascii="Arial" w:cs="Arial" w:eastAsia="Arial" w:hAnsi="Arial"/>
                <w:sz w:val="15"/>
                <w:szCs w:val="15"/>
                <w:color w:val="auto"/>
              </w:rPr>
              <w:t>Cash and cash equivalents at beginning of year</w:t>
            </w:r>
          </w:p>
        </w:tc>
        <w:tc>
          <w:tcPr>
            <w:tcW w:w="9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3,460</w:t>
            </w: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4,782</w:t>
            </w:r>
          </w:p>
        </w:tc>
        <w:tc>
          <w:tcPr>
            <w:tcW w:w="0" w:type="dxa"/>
            <w:vAlign w:val="bottom"/>
          </w:tcPr>
          <w:p>
            <w:pPr>
              <w:spacing w:after="0"/>
              <w:rPr>
                <w:sz w:val="1"/>
                <w:szCs w:val="1"/>
                <w:color w:val="auto"/>
              </w:rPr>
            </w:pPr>
          </w:p>
        </w:tc>
      </w:tr>
      <w:tr>
        <w:trPr>
          <w:trHeight w:val="182"/>
        </w:trPr>
        <w:tc>
          <w:tcPr>
            <w:tcW w:w="840" w:type="dxa"/>
            <w:vAlign w:val="bottom"/>
            <w:shd w:val="clear" w:color="auto" w:fill="CCEEFF"/>
          </w:tcPr>
          <w:p>
            <w:pPr>
              <w:spacing w:after="0"/>
              <w:rPr>
                <w:sz w:val="15"/>
                <w:szCs w:val="15"/>
                <w:color w:val="auto"/>
              </w:rPr>
            </w:pPr>
          </w:p>
        </w:tc>
        <w:tc>
          <w:tcPr>
            <w:tcW w:w="7200" w:type="dxa"/>
            <w:vAlign w:val="bottom"/>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gridSpan w:val="2"/>
          </w:tcPr>
          <w:p>
            <w:pPr>
              <w:spacing w:after="0"/>
              <w:rPr>
                <w:sz w:val="20"/>
                <w:szCs w:val="20"/>
                <w:color w:val="auto"/>
              </w:rPr>
            </w:pPr>
            <w:r>
              <w:rPr>
                <w:rFonts w:ascii="Arial" w:cs="Arial" w:eastAsia="Arial" w:hAnsi="Arial"/>
                <w:sz w:val="15"/>
                <w:szCs w:val="15"/>
                <w:color w:val="auto"/>
              </w:rPr>
              <w:t>Cash and cash equivalents at end of year</w:t>
            </w:r>
          </w:p>
        </w:tc>
        <w:tc>
          <w:tcPr>
            <w:tcW w:w="900" w:type="dxa"/>
            <w:vAlign w:val="bottom"/>
          </w:tcPr>
          <w:p>
            <w:pPr>
              <w:jc w:val="right"/>
              <w:ind w:right="786"/>
              <w:spacing w:after="0"/>
              <w:rPr>
                <w:sz w:val="20"/>
                <w:szCs w:val="20"/>
                <w:color w:val="auto"/>
              </w:rPr>
            </w:pPr>
            <w:r>
              <w:rPr>
                <w:rFonts w:ascii="Arial" w:cs="Arial" w:eastAsia="Arial" w:hAnsi="Arial"/>
                <w:sz w:val="10"/>
                <w:szCs w:val="10"/>
                <w:color w:val="auto"/>
                <w:w w:val="71"/>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7,698</w:t>
            </w:r>
          </w:p>
        </w:tc>
        <w:tc>
          <w:tcPr>
            <w:tcW w:w="220" w:type="dxa"/>
            <w:vAlign w:val="bottom"/>
          </w:tcPr>
          <w:p>
            <w:pPr>
              <w:spacing w:after="0"/>
              <w:rPr>
                <w:sz w:val="15"/>
                <w:szCs w:val="15"/>
                <w:color w:val="auto"/>
              </w:rPr>
            </w:pPr>
          </w:p>
        </w:tc>
        <w:tc>
          <w:tcPr>
            <w:tcW w:w="420" w:type="dxa"/>
            <w:vAlign w:val="bottom"/>
          </w:tcPr>
          <w:p>
            <w:pPr>
              <w:jc w:val="center"/>
              <w:ind w:right="264"/>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3,460</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840" w:type="dxa"/>
            <w:vAlign w:val="bottom"/>
            <w:shd w:val="clear" w:color="auto" w:fill="CCEEFF"/>
          </w:tcPr>
          <w:p>
            <w:pPr>
              <w:spacing w:after="0"/>
              <w:rPr>
                <w:sz w:val="14"/>
                <w:szCs w:val="14"/>
                <w:color w:val="auto"/>
              </w:rPr>
            </w:pPr>
          </w:p>
        </w:tc>
        <w:tc>
          <w:tcPr>
            <w:tcW w:w="7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040" w:type="dxa"/>
            <w:vAlign w:val="bottom"/>
            <w:gridSpan w:val="2"/>
          </w:tcPr>
          <w:p>
            <w:pPr>
              <w:spacing w:after="0"/>
              <w:rPr>
                <w:sz w:val="20"/>
                <w:szCs w:val="20"/>
                <w:color w:val="auto"/>
              </w:rPr>
            </w:pPr>
            <w:r>
              <w:rPr>
                <w:rFonts w:ascii="Arial" w:cs="Arial" w:eastAsia="Arial" w:hAnsi="Arial"/>
                <w:sz w:val="15"/>
                <w:szCs w:val="15"/>
                <w:color w:val="auto"/>
              </w:rPr>
              <w:t>Supplemental disclosures of cash flow information:</w:t>
            </w:r>
          </w:p>
        </w:tc>
        <w:tc>
          <w:tcPr>
            <w:tcW w:w="9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Cash paid during the year for:</w:t>
            </w:r>
          </w:p>
        </w:tc>
        <w:tc>
          <w:tcPr>
            <w:tcW w:w="9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40" w:type="dxa"/>
            <w:vAlign w:val="bottom"/>
            <w:gridSpan w:val="2"/>
          </w:tcPr>
          <w:p>
            <w:pPr>
              <w:ind w:left="260"/>
              <w:spacing w:after="0"/>
              <w:rPr>
                <w:sz w:val="20"/>
                <w:szCs w:val="20"/>
                <w:color w:val="auto"/>
              </w:rPr>
            </w:pPr>
            <w:r>
              <w:rPr>
                <w:rFonts w:ascii="Arial" w:cs="Arial" w:eastAsia="Arial" w:hAnsi="Arial"/>
                <w:sz w:val="15"/>
                <w:szCs w:val="15"/>
                <w:color w:val="auto"/>
              </w:rPr>
              <w:t>Interest</w:t>
            </w:r>
          </w:p>
        </w:tc>
        <w:tc>
          <w:tcPr>
            <w:tcW w:w="900" w:type="dxa"/>
            <w:vAlign w:val="bottom"/>
          </w:tcPr>
          <w:p>
            <w:pPr>
              <w:jc w:val="right"/>
              <w:ind w:right="786"/>
              <w:spacing w:after="0"/>
              <w:rPr>
                <w:sz w:val="20"/>
                <w:szCs w:val="20"/>
                <w:color w:val="auto"/>
              </w:rPr>
            </w:pPr>
            <w:r>
              <w:rPr>
                <w:rFonts w:ascii="Arial" w:cs="Arial" w:eastAsia="Arial" w:hAnsi="Arial"/>
                <w:sz w:val="10"/>
                <w:szCs w:val="10"/>
                <w:color w:val="auto"/>
                <w:w w:val="71"/>
              </w:rPr>
              <w:t>$</w:t>
            </w:r>
          </w:p>
        </w:tc>
        <w:tc>
          <w:tcPr>
            <w:tcW w:w="640" w:type="dxa"/>
            <w:vAlign w:val="bottom"/>
            <w:gridSpan w:val="2"/>
          </w:tcPr>
          <w:p>
            <w:pPr>
              <w:jc w:val="right"/>
              <w:ind w:right="144"/>
              <w:spacing w:after="0"/>
              <w:rPr>
                <w:sz w:val="20"/>
                <w:szCs w:val="20"/>
                <w:color w:val="auto"/>
              </w:rPr>
            </w:pPr>
            <w:r>
              <w:rPr>
                <w:rFonts w:ascii="Arial" w:cs="Arial" w:eastAsia="Arial" w:hAnsi="Arial"/>
                <w:sz w:val="15"/>
                <w:szCs w:val="15"/>
                <w:color w:val="auto"/>
              </w:rPr>
              <w:t>153</w:t>
            </w:r>
          </w:p>
        </w:tc>
        <w:tc>
          <w:tcPr>
            <w:tcW w:w="420" w:type="dxa"/>
            <w:vAlign w:val="bottom"/>
          </w:tcPr>
          <w:p>
            <w:pPr>
              <w:jc w:val="center"/>
              <w:ind w:right="264"/>
              <w:spacing w:after="0"/>
              <w:rPr>
                <w:sz w:val="20"/>
                <w:szCs w:val="20"/>
                <w:color w:val="auto"/>
              </w:rPr>
            </w:pPr>
            <w:r>
              <w:rPr>
                <w:rFonts w:ascii="Arial" w:cs="Arial" w:eastAsia="Arial" w:hAnsi="Arial"/>
                <w:sz w:val="15"/>
                <w:szCs w:val="15"/>
                <w:color w:val="auto"/>
                <w:w w:val="95"/>
              </w:rPr>
              <w:t>$</w:t>
            </w:r>
          </w:p>
        </w:tc>
        <w:tc>
          <w:tcPr>
            <w:tcW w:w="1000" w:type="dxa"/>
            <w:vAlign w:val="bottom"/>
            <w:gridSpan w:val="2"/>
          </w:tcPr>
          <w:p>
            <w:pPr>
              <w:jc w:val="right"/>
              <w:ind w:right="100"/>
              <w:spacing w:after="0"/>
              <w:rPr>
                <w:sz w:val="20"/>
                <w:szCs w:val="20"/>
                <w:color w:val="auto"/>
              </w:rPr>
            </w:pPr>
            <w:r>
              <w:rPr>
                <w:rFonts w:ascii="Arial" w:cs="Arial" w:eastAsia="Arial" w:hAnsi="Arial"/>
                <w:sz w:val="15"/>
                <w:szCs w:val="15"/>
                <w:color w:val="auto"/>
              </w:rPr>
              <w:t>186</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8040" w:type="dxa"/>
            <w:vAlign w:val="bottom"/>
            <w:tcBorders>
              <w:bottom w:val="single" w:sz="8" w:color="CCEEFF"/>
            </w:tcBorders>
            <w:gridSpan w:val="2"/>
            <w:shd w:val="clear" w:color="auto" w:fill="CCEEFF"/>
          </w:tcPr>
          <w:p>
            <w:pPr>
              <w:ind w:left="260"/>
              <w:spacing w:after="0" w:line="167" w:lineRule="exact"/>
              <w:rPr>
                <w:sz w:val="20"/>
                <w:szCs w:val="20"/>
                <w:color w:val="auto"/>
              </w:rPr>
            </w:pPr>
            <w:r>
              <w:rPr>
                <w:rFonts w:ascii="Arial" w:cs="Arial" w:eastAsia="Arial" w:hAnsi="Arial"/>
                <w:sz w:val="15"/>
                <w:szCs w:val="15"/>
                <w:color w:val="auto"/>
              </w:rPr>
              <w:t>Income taxes</w:t>
            </w:r>
          </w:p>
        </w:tc>
        <w:tc>
          <w:tcPr>
            <w:tcW w:w="900" w:type="dxa"/>
            <w:vAlign w:val="bottom"/>
            <w:tcBorders>
              <w:bottom w:val="single" w:sz="8" w:color="auto"/>
            </w:tcBorders>
            <w:shd w:val="clear" w:color="auto" w:fill="CCEEFF"/>
          </w:tcPr>
          <w:p>
            <w:pPr>
              <w:jc w:val="right"/>
              <w:ind w:right="786"/>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1,735</w:t>
            </w:r>
          </w:p>
        </w:tc>
        <w:tc>
          <w:tcPr>
            <w:tcW w:w="22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center"/>
              <w:ind w:right="264"/>
              <w:spacing w:after="0" w:line="167" w:lineRule="exact"/>
              <w:rPr>
                <w:sz w:val="20"/>
                <w:szCs w:val="20"/>
                <w:color w:val="auto"/>
              </w:rPr>
            </w:pPr>
            <w:r>
              <w:rPr>
                <w:rFonts w:ascii="Arial" w:cs="Arial" w:eastAsia="Arial" w:hAnsi="Arial"/>
                <w:sz w:val="15"/>
                <w:szCs w:val="15"/>
                <w:color w:val="auto"/>
                <w:w w:val="95"/>
              </w:rPr>
              <w:t>$</w:t>
            </w:r>
          </w:p>
        </w:tc>
        <w:tc>
          <w:tcPr>
            <w:tcW w:w="90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2,993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120"/>
        <w:spacing w:after="0"/>
        <w:rPr>
          <w:sz w:val="20"/>
          <w:szCs w:val="20"/>
          <w:color w:val="auto"/>
        </w:rPr>
      </w:pPr>
      <w:r>
        <w:rPr>
          <w:rFonts w:ascii="Arial" w:cs="Arial" w:eastAsia="Arial" w:hAnsi="Arial"/>
          <w:sz w:val="15"/>
          <w:szCs w:val="15"/>
          <w:color w:val="auto"/>
        </w:rPr>
        <w:t>Non-cash operating and investing activities:</w:t>
      </w:r>
    </w:p>
    <w:p>
      <w:pPr>
        <w:spacing w:after="0" w:line="18" w:lineRule="exact"/>
        <w:rPr>
          <w:sz w:val="20"/>
          <w:szCs w:val="20"/>
          <w:color w:val="auto"/>
        </w:rPr>
      </w:pPr>
    </w:p>
    <w:p>
      <w:pPr>
        <w:jc w:val="both"/>
        <w:ind w:left="460" w:hanging="247"/>
        <w:spacing w:after="0" w:line="258"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During the year ended April 30, 2014, the Company delivered certain fixed assets called for by a license agreement with Morion, Inc. (See Note 10. Investment in Morion, Inc.) A portion of the $925 deposit previously received and recorded as deferred revenue at April 30, 2013, was recognized as proceeds on the sale of those fixed assets in fiscal year 2014. No additional cash was received for that provision of the license agreement.</w:t>
      </w:r>
    </w:p>
    <w:p>
      <w:pPr>
        <w:spacing w:after="0" w:line="183"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38"/>
        </w:trPr>
        <w:tc>
          <w:tcPr>
            <w:tcW w:w="180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0" w:type="dxa"/>
            <w:vAlign w:val="bottom"/>
            <w:gridSpan w:val="10"/>
          </w:tcPr>
          <w:p>
            <w:pPr>
              <w:jc w:val="center"/>
              <w:ind w:right="360"/>
              <w:spacing w:after="0"/>
              <w:rPr>
                <w:sz w:val="20"/>
                <w:szCs w:val="20"/>
                <w:color w:val="auto"/>
              </w:rPr>
            </w:pPr>
            <w:r>
              <w:rPr>
                <w:rFonts w:ascii="Arial" w:cs="Arial" w:eastAsia="Arial" w:hAnsi="Arial"/>
                <w:sz w:val="15"/>
                <w:szCs w:val="15"/>
                <w:b w:val="1"/>
                <w:bCs w:val="1"/>
                <w:color w:val="auto"/>
              </w:rPr>
              <w:t>FREQUENCY ELECTRONICS, INC. and SUBSIDIARIES</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0" w:type="dxa"/>
            <w:vAlign w:val="bottom"/>
            <w:gridSpan w:val="10"/>
          </w:tcPr>
          <w:p>
            <w:pPr>
              <w:jc w:val="center"/>
              <w:ind w:right="360"/>
              <w:spacing w:after="0"/>
              <w:rPr>
                <w:sz w:val="20"/>
                <w:szCs w:val="20"/>
                <w:color w:val="auto"/>
              </w:rPr>
            </w:pPr>
            <w:r>
              <w:rPr>
                <w:rFonts w:ascii="Arial" w:cs="Arial" w:eastAsia="Arial" w:hAnsi="Arial"/>
                <w:sz w:val="15"/>
                <w:szCs w:val="15"/>
                <w:color w:val="auto"/>
                <w:w w:val="91"/>
              </w:rPr>
              <w:t>Consolidated Statements of Changes in Stockholders' Equity</w:t>
            </w: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gridSpan w:val="7"/>
          </w:tcPr>
          <w:p>
            <w:pPr>
              <w:jc w:val="center"/>
              <w:ind w:right="60"/>
              <w:spacing w:after="0"/>
              <w:rPr>
                <w:sz w:val="20"/>
                <w:szCs w:val="20"/>
                <w:color w:val="auto"/>
              </w:rPr>
            </w:pPr>
            <w:r>
              <w:rPr>
                <w:rFonts w:ascii="Arial" w:cs="Arial" w:eastAsia="Arial" w:hAnsi="Arial"/>
                <w:sz w:val="15"/>
                <w:szCs w:val="15"/>
                <w:color w:val="auto"/>
                <w:w w:val="90"/>
              </w:rPr>
              <w:t>Years ended April 30, 2014 and 2013</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60" w:type="dxa"/>
            <w:vAlign w:val="bottom"/>
            <w:gridSpan w:val="6"/>
          </w:tcPr>
          <w:p>
            <w:pPr>
              <w:jc w:val="center"/>
              <w:ind w:right="240"/>
              <w:spacing w:after="0"/>
              <w:rPr>
                <w:sz w:val="20"/>
                <w:szCs w:val="20"/>
                <w:color w:val="auto"/>
              </w:rPr>
            </w:pPr>
            <w:r>
              <w:rPr>
                <w:rFonts w:ascii="Arial" w:cs="Arial" w:eastAsia="Arial" w:hAnsi="Arial"/>
                <w:sz w:val="15"/>
                <w:szCs w:val="15"/>
                <w:color w:val="auto"/>
                <w:w w:val="88"/>
              </w:rPr>
              <w:t>(In thousands, except share data)</w:t>
            </w: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372"/>
        </w:trPr>
        <w:tc>
          <w:tcPr>
            <w:tcW w:w="8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5"/>
                <w:szCs w:val="15"/>
                <w:b w:val="1"/>
                <w:bCs w:val="1"/>
                <w:color w:val="auto"/>
                <w:w w:val="91"/>
              </w:rPr>
              <w:t>Accumulated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5"/>
                <w:szCs w:val="15"/>
                <w:b w:val="1"/>
                <w:bCs w:val="1"/>
                <w:color w:val="auto"/>
                <w:w w:val="92"/>
              </w:rPr>
              <w:t>Additional</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80" w:type="dxa"/>
            <w:vAlign w:val="bottom"/>
            <w:gridSpan w:val="5"/>
          </w:tcPr>
          <w:p>
            <w:pPr>
              <w:jc w:val="right"/>
              <w:ind w:right="680"/>
              <w:spacing w:after="0"/>
              <w:rPr>
                <w:sz w:val="20"/>
                <w:szCs w:val="20"/>
                <w:color w:val="auto"/>
              </w:rPr>
            </w:pPr>
            <w:r>
              <w:rPr>
                <w:rFonts w:ascii="Arial" w:cs="Arial" w:eastAsia="Arial" w:hAnsi="Arial"/>
                <w:sz w:val="15"/>
                <w:szCs w:val="15"/>
                <w:b w:val="1"/>
                <w:bCs w:val="1"/>
                <w:color w:val="auto"/>
              </w:rPr>
              <w:t>Treasury stock</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0"/>
              </w:rPr>
              <w:t>other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9"/>
        </w:trPr>
        <w:tc>
          <w:tcPr>
            <w:tcW w:w="8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120" w:type="dxa"/>
            <w:vAlign w:val="bottom"/>
            <w:gridSpan w:val="4"/>
          </w:tcPr>
          <w:p>
            <w:pPr>
              <w:jc w:val="right"/>
              <w:ind w:right="504"/>
              <w:spacing w:after="0"/>
              <w:rPr>
                <w:sz w:val="20"/>
                <w:szCs w:val="20"/>
                <w:color w:val="auto"/>
              </w:rPr>
            </w:pPr>
            <w:r>
              <w:rPr>
                <w:rFonts w:ascii="Arial" w:cs="Arial" w:eastAsia="Arial" w:hAnsi="Arial"/>
                <w:sz w:val="15"/>
                <w:szCs w:val="15"/>
                <w:b w:val="1"/>
                <w:bCs w:val="1"/>
                <w:color w:val="auto"/>
              </w:rPr>
              <w:t>Common Stock</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460"/>
              <w:spacing w:after="0"/>
              <w:rPr>
                <w:sz w:val="20"/>
                <w:szCs w:val="20"/>
                <w:color w:val="auto"/>
              </w:rPr>
            </w:pPr>
            <w:r>
              <w:rPr>
                <w:rFonts w:ascii="Arial" w:cs="Arial" w:eastAsia="Arial" w:hAnsi="Arial"/>
                <w:sz w:val="15"/>
                <w:szCs w:val="15"/>
                <w:b w:val="1"/>
                <w:bCs w:val="1"/>
                <w:color w:val="auto"/>
              </w:rPr>
              <w:t>paid in</w:t>
            </w:r>
          </w:p>
        </w:tc>
        <w:tc>
          <w:tcPr>
            <w:tcW w:w="120" w:type="dxa"/>
            <w:vAlign w:val="bottom"/>
          </w:tcPr>
          <w:p>
            <w:pPr>
              <w:spacing w:after="0"/>
              <w:rPr>
                <w:sz w:val="17"/>
                <w:szCs w:val="17"/>
                <w:color w:val="auto"/>
              </w:rPr>
            </w:pPr>
          </w:p>
        </w:tc>
        <w:tc>
          <w:tcPr>
            <w:tcW w:w="1000" w:type="dxa"/>
            <w:vAlign w:val="bottom"/>
            <w:gridSpan w:val="2"/>
          </w:tcPr>
          <w:p>
            <w:pPr>
              <w:ind w:left="40"/>
              <w:spacing w:after="0"/>
              <w:rPr>
                <w:sz w:val="20"/>
                <w:szCs w:val="20"/>
                <w:color w:val="auto"/>
              </w:rPr>
            </w:pPr>
            <w:r>
              <w:rPr>
                <w:rFonts w:ascii="Arial" w:cs="Arial" w:eastAsia="Arial" w:hAnsi="Arial"/>
                <w:sz w:val="15"/>
                <w:szCs w:val="15"/>
                <w:b w:val="1"/>
                <w:bCs w:val="1"/>
                <w:color w:val="auto"/>
              </w:rPr>
              <w:t>Retained</w:t>
            </w:r>
          </w:p>
        </w:tc>
        <w:tc>
          <w:tcPr>
            <w:tcW w:w="1300" w:type="dxa"/>
            <w:vAlign w:val="bottom"/>
            <w:gridSpan w:val="3"/>
          </w:tcPr>
          <w:p>
            <w:pPr>
              <w:jc w:val="right"/>
              <w:spacing w:after="0"/>
              <w:rPr>
                <w:sz w:val="20"/>
                <w:szCs w:val="20"/>
                <w:color w:val="auto"/>
              </w:rPr>
            </w:pPr>
            <w:r>
              <w:rPr>
                <w:rFonts w:ascii="Arial" w:cs="Arial" w:eastAsia="Arial" w:hAnsi="Arial"/>
                <w:sz w:val="15"/>
                <w:szCs w:val="15"/>
                <w:b w:val="1"/>
                <w:bCs w:val="1"/>
                <w:color w:val="auto"/>
              </w:rPr>
              <w:t>(at cost)</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gridSpan w:val="4"/>
          </w:tcPr>
          <w:p>
            <w:pPr>
              <w:jc w:val="center"/>
              <w:ind w:right="20"/>
              <w:spacing w:after="0"/>
              <w:rPr>
                <w:sz w:val="20"/>
                <w:szCs w:val="20"/>
                <w:color w:val="auto"/>
              </w:rPr>
            </w:pPr>
            <w:r>
              <w:rPr>
                <w:rFonts w:ascii="Arial" w:cs="Arial" w:eastAsia="Arial" w:hAnsi="Arial"/>
                <w:sz w:val="15"/>
                <w:szCs w:val="15"/>
                <w:b w:val="1"/>
                <w:bCs w:val="1"/>
                <w:color w:val="auto"/>
                <w:w w:val="87"/>
              </w:rPr>
              <w:t>comprehensive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84"/>
        </w:trPr>
        <w:tc>
          <w:tcPr>
            <w:tcW w:w="8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top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w w:val="98"/>
              </w:rPr>
              <w:t>Amount</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b w:val="1"/>
                <w:bCs w:val="1"/>
                <w:color w:val="auto"/>
              </w:rPr>
              <w:t>capital</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earnings</w:t>
            </w:r>
          </w:p>
        </w:tc>
        <w:tc>
          <w:tcPr>
            <w:tcW w:w="22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5"/>
                <w:szCs w:val="15"/>
                <w:b w:val="1"/>
                <w:bCs w:val="1"/>
                <w:color w:val="auto"/>
              </w:rPr>
              <w:t>Shares</w:t>
            </w:r>
          </w:p>
        </w:tc>
        <w:tc>
          <w:tcPr>
            <w:tcW w:w="220" w:type="dxa"/>
            <w:vAlign w:val="bottom"/>
            <w:tcBorders>
              <w:top w:val="single" w:sz="8" w:color="auto"/>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b w:val="1"/>
                <w:bCs w:val="1"/>
                <w:color w:val="auto"/>
                <w:w w:val="95"/>
              </w:rPr>
              <w:t>Amount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6"/>
              </w:rPr>
              <w:t>income (loss)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b w:val="1"/>
                <w:bCs w:val="1"/>
                <w:color w:val="auto"/>
              </w:rPr>
              <w:t>Total</w:t>
            </w:r>
          </w:p>
        </w:tc>
        <w:tc>
          <w:tcPr>
            <w:tcW w:w="120" w:type="dxa"/>
            <w:vAlign w:val="bottom"/>
          </w:tcPr>
          <w:p>
            <w:pPr>
              <w:spacing w:after="0"/>
              <w:rPr>
                <w:sz w:val="16"/>
                <w:szCs w:val="16"/>
                <w:color w:val="auto"/>
              </w:rPr>
            </w:pPr>
          </w:p>
        </w:tc>
      </w:tr>
      <w:tr>
        <w:trPr>
          <w:trHeight w:val="204"/>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at April 30, 2012</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9,163,940</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9,164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50,797</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18,660</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800,787</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(3,659)</w:t>
            </w:r>
          </w:p>
        </w:tc>
        <w:tc>
          <w:tcPr>
            <w:tcW w:w="28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4,170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79,132</w:t>
            </w:r>
          </w:p>
        </w:tc>
      </w:tr>
      <w:tr>
        <w:trPr>
          <w:trHeight w:val="182"/>
        </w:trPr>
        <w:tc>
          <w:tcPr>
            <w:tcW w:w="3340" w:type="dxa"/>
            <w:vAlign w:val="bottom"/>
            <w:gridSpan w:val="4"/>
          </w:tcPr>
          <w:p>
            <w:pPr>
              <w:spacing w:after="0"/>
              <w:rPr>
                <w:sz w:val="20"/>
                <w:szCs w:val="20"/>
                <w:color w:val="auto"/>
              </w:rPr>
            </w:pPr>
            <w:r>
              <w:rPr>
                <w:rFonts w:ascii="Arial" w:cs="Arial" w:eastAsia="Arial" w:hAnsi="Arial"/>
                <w:sz w:val="15"/>
                <w:szCs w:val="15"/>
                <w:color w:val="auto"/>
              </w:rPr>
              <w:t>Contribution of stock to 401(k) plan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214</w:t>
            </w: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(52,715)</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242</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456</w:t>
            </w:r>
          </w:p>
        </w:tc>
        <w:tc>
          <w:tcPr>
            <w:tcW w:w="120" w:type="dxa"/>
            <w:vAlign w:val="bottom"/>
          </w:tcPr>
          <w:p>
            <w:pPr>
              <w:spacing w:after="0"/>
              <w:rPr>
                <w:sz w:val="15"/>
                <w:szCs w:val="15"/>
                <w:color w:val="auto"/>
              </w:rPr>
            </w:pPr>
          </w:p>
        </w:tc>
      </w:tr>
      <w:tr>
        <w:trPr>
          <w:trHeight w:val="182"/>
        </w:trPr>
        <w:tc>
          <w:tcPr>
            <w:tcW w:w="33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Stock-based compensation expense</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947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100</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w:t>
            </w:r>
          </w:p>
        </w:tc>
        <w:tc>
          <w:tcPr>
            <w:tcW w:w="120" w:type="dxa"/>
            <w:vAlign w:val="bottom"/>
            <w:shd w:val="clear" w:color="auto" w:fill="CCEEFF"/>
          </w:tcPr>
          <w:p>
            <w:pPr>
              <w:spacing w:after="0"/>
              <w:rPr>
                <w:sz w:val="15"/>
                <w:szCs w:val="15"/>
                <w:color w:val="auto"/>
              </w:rPr>
            </w:pPr>
          </w:p>
        </w:tc>
      </w:tr>
      <w:tr>
        <w:trPr>
          <w:trHeight w:val="171"/>
        </w:trPr>
        <w:tc>
          <w:tcPr>
            <w:tcW w:w="1800" w:type="dxa"/>
            <w:vAlign w:val="bottom"/>
            <w:gridSpan w:val="2"/>
          </w:tcPr>
          <w:p>
            <w:pPr>
              <w:spacing w:after="0" w:line="171" w:lineRule="exact"/>
              <w:rPr>
                <w:sz w:val="20"/>
                <w:szCs w:val="20"/>
                <w:color w:val="auto"/>
              </w:rPr>
            </w:pPr>
            <w:r>
              <w:rPr>
                <w:rFonts w:ascii="Arial" w:cs="Arial" w:eastAsia="Arial" w:hAnsi="Arial"/>
                <w:sz w:val="15"/>
                <w:szCs w:val="15"/>
                <w:color w:val="auto"/>
                <w:w w:val="92"/>
              </w:rPr>
              <w:t>Tax benefit from stock option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800" w:type="dxa"/>
            <w:vAlign w:val="bottom"/>
            <w:gridSpan w:val="2"/>
          </w:tcPr>
          <w:p>
            <w:pPr>
              <w:ind w:left="260"/>
              <w:spacing w:after="0"/>
              <w:rPr>
                <w:sz w:val="20"/>
                <w:szCs w:val="20"/>
                <w:color w:val="auto"/>
              </w:rPr>
            </w:pPr>
            <w:r>
              <w:rPr>
                <w:rFonts w:ascii="Arial" w:cs="Arial" w:eastAsia="Arial" w:hAnsi="Arial"/>
                <w:sz w:val="15"/>
                <w:szCs w:val="15"/>
                <w:color w:val="auto"/>
              </w:rPr>
              <w:t>exercise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152</w:t>
            </w:r>
          </w:p>
        </w:tc>
        <w:tc>
          <w:tcPr>
            <w:tcW w:w="120" w:type="dxa"/>
            <w:vAlign w:val="bottom"/>
          </w:tcPr>
          <w:p>
            <w:pPr>
              <w:spacing w:after="0"/>
              <w:rPr>
                <w:sz w:val="16"/>
                <w:szCs w:val="16"/>
                <w:color w:val="auto"/>
              </w:rPr>
            </w:pPr>
          </w:p>
        </w:tc>
      </w:tr>
      <w:tr>
        <w:trPr>
          <w:trHeight w:val="172"/>
        </w:trPr>
        <w:tc>
          <w:tcPr>
            <w:tcW w:w="33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Exercise of stock options and stock</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1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5"/>
              </w:rPr>
              <w:t>appreciation rights - net of</w:t>
            </w:r>
          </w:p>
        </w:tc>
        <w:tc>
          <w:tcPr>
            <w:tcW w:w="1540" w:type="dxa"/>
            <w:vAlign w:val="bottom"/>
            <w:gridSpan w:val="2"/>
            <w:shd w:val="clear" w:color="auto" w:fill="CCEEFF"/>
          </w:tcPr>
          <w:p>
            <w:pPr>
              <w:jc w:val="right"/>
              <w:ind w:right="1084"/>
              <w:spacing w:after="0"/>
              <w:rPr>
                <w:sz w:val="20"/>
                <w:szCs w:val="20"/>
                <w:color w:val="auto"/>
              </w:rPr>
            </w:pPr>
            <w:r>
              <w:rPr>
                <w:rFonts w:ascii="Arial" w:cs="Arial" w:eastAsia="Arial" w:hAnsi="Arial"/>
                <w:sz w:val="15"/>
                <w:szCs w:val="15"/>
                <w:color w:val="auto"/>
                <w:w w:val="79"/>
              </w:rPr>
              <w:t>shares</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1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93"/>
              </w:rPr>
              <w:t>tendered for exercise price</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(197)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(47,582)</w:t>
            </w:r>
          </w:p>
        </w:tc>
        <w:tc>
          <w:tcPr>
            <w:tcW w:w="16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217</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20" w:type="dxa"/>
            <w:vAlign w:val="bottom"/>
            <w:shd w:val="clear" w:color="auto" w:fill="CCEEFF"/>
          </w:tcPr>
          <w:p>
            <w:pPr>
              <w:spacing w:after="0"/>
              <w:rPr>
                <w:sz w:val="16"/>
                <w:szCs w:val="16"/>
                <w:color w:val="auto"/>
              </w:rPr>
            </w:pPr>
          </w:p>
        </w:tc>
      </w:tr>
      <w:tr>
        <w:trPr>
          <w:trHeight w:val="182"/>
        </w:trPr>
        <w:tc>
          <w:tcPr>
            <w:tcW w:w="3340" w:type="dxa"/>
            <w:vAlign w:val="bottom"/>
            <w:gridSpan w:val="4"/>
          </w:tcPr>
          <w:p>
            <w:pPr>
              <w:spacing w:after="0"/>
              <w:rPr>
                <w:sz w:val="20"/>
                <w:szCs w:val="20"/>
                <w:color w:val="auto"/>
              </w:rPr>
            </w:pPr>
            <w:r>
              <w:rPr>
                <w:rFonts w:ascii="Arial" w:cs="Arial" w:eastAsia="Arial" w:hAnsi="Arial"/>
                <w:sz w:val="15"/>
                <w:szCs w:val="15"/>
                <w:color w:val="auto"/>
              </w:rPr>
              <w:t>Cash dividend $0.20 per share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5"/>
                <w:szCs w:val="15"/>
                <w:color w:val="auto"/>
              </w:rPr>
              <w:t>(1,684)</w:t>
            </w: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(1,684)</w:t>
            </w:r>
          </w:p>
        </w:tc>
      </w:tr>
      <w:tr>
        <w:trPr>
          <w:trHeight w:val="171"/>
        </w:trPr>
        <w:tc>
          <w:tcPr>
            <w:tcW w:w="3340" w:type="dxa"/>
            <w:vAlign w:val="bottom"/>
            <w:gridSpan w:val="4"/>
            <w:shd w:val="clear" w:color="auto" w:fill="CCEEFF"/>
          </w:tcPr>
          <w:p>
            <w:pPr>
              <w:spacing w:after="0" w:line="171" w:lineRule="exact"/>
              <w:rPr>
                <w:sz w:val="20"/>
                <w:szCs w:val="20"/>
                <w:color w:val="auto"/>
              </w:rPr>
            </w:pPr>
            <w:r>
              <w:rPr>
                <w:rFonts w:ascii="Arial" w:cs="Arial" w:eastAsia="Arial" w:hAnsi="Arial"/>
                <w:sz w:val="15"/>
                <w:szCs w:val="15"/>
                <w:color w:val="auto"/>
              </w:rPr>
              <w:t>Change in unrealized gains and</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334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losses on marketable securities, net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1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 taxes</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525</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20" w:type="dxa"/>
            <w:vAlign w:val="bottom"/>
            <w:shd w:val="clear" w:color="auto" w:fill="CCEEFF"/>
          </w:tcPr>
          <w:p>
            <w:pPr>
              <w:spacing w:after="0"/>
              <w:rPr>
                <w:sz w:val="16"/>
                <w:szCs w:val="16"/>
                <w:color w:val="auto"/>
              </w:rPr>
            </w:pPr>
          </w:p>
        </w:tc>
      </w:tr>
      <w:tr>
        <w:trPr>
          <w:trHeight w:val="171"/>
        </w:trPr>
        <w:tc>
          <w:tcPr>
            <w:tcW w:w="1800" w:type="dxa"/>
            <w:vAlign w:val="bottom"/>
            <w:gridSpan w:val="2"/>
          </w:tcPr>
          <w:p>
            <w:pPr>
              <w:spacing w:after="0" w:line="171" w:lineRule="exact"/>
              <w:rPr>
                <w:sz w:val="20"/>
                <w:szCs w:val="20"/>
                <w:color w:val="auto"/>
              </w:rPr>
            </w:pPr>
            <w:r>
              <w:rPr>
                <w:rFonts w:ascii="Arial" w:cs="Arial" w:eastAsia="Arial" w:hAnsi="Arial"/>
                <w:sz w:val="15"/>
                <w:szCs w:val="15"/>
                <w:color w:val="auto"/>
                <w:w w:val="95"/>
              </w:rPr>
              <w:t>Foreign currency translation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800" w:type="dxa"/>
            <w:vAlign w:val="bottom"/>
            <w:gridSpan w:val="2"/>
          </w:tcPr>
          <w:p>
            <w:pPr>
              <w:ind w:left="120"/>
              <w:spacing w:after="0"/>
              <w:rPr>
                <w:sz w:val="20"/>
                <w:szCs w:val="20"/>
                <w:color w:val="auto"/>
              </w:rPr>
            </w:pPr>
            <w:r>
              <w:rPr>
                <w:rFonts w:ascii="Arial" w:cs="Arial" w:eastAsia="Arial" w:hAnsi="Arial"/>
                <w:sz w:val="15"/>
                <w:szCs w:val="15"/>
                <w:color w:val="auto"/>
              </w:rPr>
              <w:t>adjustment</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5"/>
                <w:szCs w:val="15"/>
                <w:color w:val="auto"/>
              </w:rPr>
              <w:t>(782)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5"/>
                <w:szCs w:val="15"/>
                <w:color w:val="auto"/>
              </w:rPr>
              <w:t>(782)</w:t>
            </w:r>
          </w:p>
        </w:tc>
      </w:tr>
      <w:tr>
        <w:trPr>
          <w:trHeight w:val="182"/>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3,686</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3,686</w:t>
            </w:r>
          </w:p>
        </w:tc>
        <w:tc>
          <w:tcPr>
            <w:tcW w:w="120" w:type="dxa"/>
            <w:vAlign w:val="bottom"/>
            <w:shd w:val="clear" w:color="auto" w:fill="CCEEFF"/>
          </w:tcPr>
          <w:p>
            <w:pPr>
              <w:spacing w:after="0"/>
              <w:rPr>
                <w:sz w:val="15"/>
                <w:szCs w:val="15"/>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204"/>
        </w:trPr>
        <w:tc>
          <w:tcPr>
            <w:tcW w:w="1800" w:type="dxa"/>
            <w:vAlign w:val="bottom"/>
            <w:gridSpan w:val="2"/>
          </w:tcPr>
          <w:p>
            <w:pPr>
              <w:spacing w:after="0"/>
              <w:rPr>
                <w:sz w:val="20"/>
                <w:szCs w:val="20"/>
                <w:color w:val="auto"/>
              </w:rPr>
            </w:pPr>
            <w:r>
              <w:rPr>
                <w:rFonts w:ascii="Arial" w:cs="Arial" w:eastAsia="Arial" w:hAnsi="Arial"/>
                <w:sz w:val="15"/>
                <w:szCs w:val="15"/>
                <w:color w:val="auto"/>
              </w:rPr>
              <w:t>Balance at April 30, 2013</w:t>
            </w:r>
          </w:p>
        </w:tc>
        <w:tc>
          <w:tcPr>
            <w:tcW w:w="6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9,163,940</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9,164</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51,913</w:t>
            </w:r>
          </w:p>
        </w:tc>
        <w:tc>
          <w:tcPr>
            <w:tcW w:w="120" w:type="dxa"/>
            <w:vAlign w:val="bottom"/>
          </w:tcPr>
          <w:p>
            <w:pPr>
              <w:spacing w:after="0"/>
              <w:rPr>
                <w:sz w:val="17"/>
                <w:szCs w:val="17"/>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20,662</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700,590</w:t>
            </w:r>
          </w:p>
        </w:tc>
        <w:tc>
          <w:tcPr>
            <w:tcW w:w="16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(3,200)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3,913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82,452</w:t>
            </w:r>
          </w:p>
        </w:tc>
      </w:tr>
      <w:tr>
        <w:trPr>
          <w:trHeight w:val="182"/>
        </w:trPr>
        <w:tc>
          <w:tcPr>
            <w:tcW w:w="33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Contribution of stock to 401(k) plan</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277</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(41,775)</w:t>
            </w:r>
          </w:p>
        </w:tc>
        <w:tc>
          <w:tcPr>
            <w:tcW w:w="1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189</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466</w:t>
            </w:r>
          </w:p>
        </w:tc>
        <w:tc>
          <w:tcPr>
            <w:tcW w:w="120" w:type="dxa"/>
            <w:vAlign w:val="bottom"/>
            <w:shd w:val="clear" w:color="auto" w:fill="CCEEFF"/>
          </w:tcPr>
          <w:p>
            <w:pPr>
              <w:spacing w:after="0"/>
              <w:rPr>
                <w:sz w:val="15"/>
                <w:szCs w:val="15"/>
                <w:color w:val="auto"/>
              </w:rPr>
            </w:pPr>
          </w:p>
        </w:tc>
      </w:tr>
      <w:tr>
        <w:trPr>
          <w:trHeight w:val="182"/>
        </w:trPr>
        <w:tc>
          <w:tcPr>
            <w:tcW w:w="3340" w:type="dxa"/>
            <w:vAlign w:val="bottom"/>
            <w:gridSpan w:val="4"/>
          </w:tcPr>
          <w:p>
            <w:pPr>
              <w:spacing w:after="0"/>
              <w:rPr>
                <w:sz w:val="20"/>
                <w:szCs w:val="20"/>
                <w:color w:val="auto"/>
              </w:rPr>
            </w:pPr>
            <w:r>
              <w:rPr>
                <w:rFonts w:ascii="Arial" w:cs="Arial" w:eastAsia="Arial" w:hAnsi="Arial"/>
                <w:sz w:val="15"/>
                <w:szCs w:val="15"/>
                <w:color w:val="auto"/>
              </w:rPr>
              <w:t>Stock-based compensation expense</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1,104</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(300)</w:t>
            </w:r>
          </w:p>
        </w:tc>
        <w:tc>
          <w:tcPr>
            <w:tcW w:w="160" w:type="dxa"/>
            <w:vAlign w:val="bottom"/>
          </w:tcPr>
          <w:p>
            <w:pPr>
              <w:spacing w:after="0"/>
              <w:rPr>
                <w:sz w:val="15"/>
                <w:szCs w:val="15"/>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1,105</w:t>
            </w:r>
          </w:p>
        </w:tc>
        <w:tc>
          <w:tcPr>
            <w:tcW w:w="120" w:type="dxa"/>
            <w:vAlign w:val="bottom"/>
          </w:tcPr>
          <w:p>
            <w:pPr>
              <w:spacing w:after="0"/>
              <w:rPr>
                <w:sz w:val="15"/>
                <w:szCs w:val="15"/>
                <w:color w:val="auto"/>
              </w:rPr>
            </w:pPr>
          </w:p>
        </w:tc>
      </w:tr>
      <w:tr>
        <w:trPr>
          <w:trHeight w:val="171"/>
        </w:trPr>
        <w:tc>
          <w:tcPr>
            <w:tcW w:w="1800" w:type="dxa"/>
            <w:vAlign w:val="bottom"/>
            <w:gridSpan w:val="2"/>
            <w:shd w:val="clear" w:color="auto" w:fill="CCEEFF"/>
          </w:tcPr>
          <w:p>
            <w:pPr>
              <w:spacing w:after="0" w:line="171" w:lineRule="exact"/>
              <w:rPr>
                <w:sz w:val="20"/>
                <w:szCs w:val="20"/>
                <w:color w:val="auto"/>
              </w:rPr>
            </w:pPr>
            <w:r>
              <w:rPr>
                <w:rFonts w:ascii="Arial" w:cs="Arial" w:eastAsia="Arial" w:hAnsi="Arial"/>
                <w:sz w:val="15"/>
                <w:szCs w:val="15"/>
                <w:color w:val="auto"/>
                <w:w w:val="92"/>
              </w:rPr>
              <w:t>Tax benefit from stock option</w:t>
            </w:r>
          </w:p>
        </w:tc>
        <w:tc>
          <w:tcPr>
            <w:tcW w:w="60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2"/>
        </w:trPr>
        <w:tc>
          <w:tcPr>
            <w:tcW w:w="180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rPr>
              <w:t>exercise</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182</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w:t>
            </w:r>
          </w:p>
        </w:tc>
        <w:tc>
          <w:tcPr>
            <w:tcW w:w="120" w:type="dxa"/>
            <w:vAlign w:val="bottom"/>
            <w:shd w:val="clear" w:color="auto" w:fill="CCEEFF"/>
          </w:tcPr>
          <w:p>
            <w:pPr>
              <w:spacing w:after="0"/>
              <w:rPr>
                <w:sz w:val="16"/>
                <w:szCs w:val="16"/>
                <w:color w:val="auto"/>
              </w:rPr>
            </w:pPr>
          </w:p>
        </w:tc>
      </w:tr>
      <w:tr>
        <w:trPr>
          <w:trHeight w:val="171"/>
        </w:trPr>
        <w:tc>
          <w:tcPr>
            <w:tcW w:w="3340" w:type="dxa"/>
            <w:vAlign w:val="bottom"/>
            <w:gridSpan w:val="4"/>
          </w:tcPr>
          <w:p>
            <w:pPr>
              <w:spacing w:after="0" w:line="171" w:lineRule="exact"/>
              <w:rPr>
                <w:sz w:val="20"/>
                <w:szCs w:val="20"/>
                <w:color w:val="auto"/>
              </w:rPr>
            </w:pPr>
            <w:r>
              <w:rPr>
                <w:rFonts w:ascii="Arial" w:cs="Arial" w:eastAsia="Arial" w:hAnsi="Arial"/>
                <w:sz w:val="15"/>
                <w:szCs w:val="15"/>
                <w:color w:val="auto"/>
              </w:rPr>
              <w:t>Exercise of stock options and stock</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2"/>
        </w:trPr>
        <w:tc>
          <w:tcPr>
            <w:tcW w:w="3340" w:type="dxa"/>
            <w:vAlign w:val="bottom"/>
            <w:gridSpan w:val="4"/>
          </w:tcPr>
          <w:p>
            <w:pPr>
              <w:ind w:left="120"/>
              <w:spacing w:after="0"/>
              <w:rPr>
                <w:sz w:val="20"/>
                <w:szCs w:val="20"/>
                <w:color w:val="auto"/>
              </w:rPr>
            </w:pPr>
            <w:r>
              <w:rPr>
                <w:rFonts w:ascii="Arial" w:cs="Arial" w:eastAsia="Arial" w:hAnsi="Arial"/>
                <w:sz w:val="15"/>
                <w:szCs w:val="15"/>
                <w:color w:val="auto"/>
              </w:rPr>
              <w:t>appreciation rights - net of shares</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1800" w:type="dxa"/>
            <w:vAlign w:val="bottom"/>
            <w:gridSpan w:val="2"/>
          </w:tcPr>
          <w:p>
            <w:pPr>
              <w:ind w:left="120"/>
              <w:spacing w:after="0"/>
              <w:rPr>
                <w:sz w:val="20"/>
                <w:szCs w:val="20"/>
                <w:color w:val="auto"/>
              </w:rPr>
            </w:pPr>
            <w:r>
              <w:rPr>
                <w:rFonts w:ascii="Arial" w:cs="Arial" w:eastAsia="Arial" w:hAnsi="Arial"/>
                <w:sz w:val="15"/>
                <w:szCs w:val="15"/>
                <w:color w:val="auto"/>
                <w:w w:val="93"/>
              </w:rPr>
              <w:t>tendered for exercise price</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5"/>
                <w:szCs w:val="15"/>
                <w:color w:val="auto"/>
              </w:rPr>
              <w:t>(295)</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5"/>
                <w:szCs w:val="15"/>
                <w:color w:val="auto"/>
              </w:rPr>
              <w:t>(65,384)</w:t>
            </w:r>
          </w:p>
        </w:tc>
        <w:tc>
          <w:tcPr>
            <w:tcW w:w="160" w:type="dxa"/>
            <w:vAlign w:val="bottom"/>
          </w:tcPr>
          <w:p>
            <w:pPr>
              <w:spacing w:after="0"/>
              <w:rPr>
                <w:sz w:val="16"/>
                <w:szCs w:val="16"/>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5"/>
                <w:szCs w:val="15"/>
                <w:color w:val="auto"/>
              </w:rPr>
              <w:t>295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r>
      <w:tr>
        <w:trPr>
          <w:trHeight w:val="172"/>
        </w:trPr>
        <w:tc>
          <w:tcPr>
            <w:tcW w:w="3340" w:type="dxa"/>
            <w:vAlign w:val="bottom"/>
            <w:gridSpan w:val="4"/>
            <w:shd w:val="clear" w:color="auto" w:fill="CCEEFF"/>
          </w:tcPr>
          <w:p>
            <w:pPr>
              <w:spacing w:after="0"/>
              <w:rPr>
                <w:sz w:val="20"/>
                <w:szCs w:val="20"/>
                <w:color w:val="auto"/>
              </w:rPr>
            </w:pPr>
            <w:r>
              <w:rPr>
                <w:rFonts w:ascii="Arial" w:cs="Arial" w:eastAsia="Arial" w:hAnsi="Arial"/>
                <w:sz w:val="15"/>
                <w:szCs w:val="15"/>
                <w:color w:val="auto"/>
              </w:rPr>
              <w:t>Change in unrealized gains and</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tcBorders>
              <w:right w:val="single" w:sz="8" w:color="CCEEFF"/>
            </w:tcBorders>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82"/>
        </w:trPr>
        <w:tc>
          <w:tcPr>
            <w:tcW w:w="3340" w:type="dxa"/>
            <w:vAlign w:val="bottom"/>
            <w:gridSpan w:val="4"/>
            <w:shd w:val="clear" w:color="auto" w:fill="CCEEFF"/>
          </w:tcPr>
          <w:p>
            <w:pPr>
              <w:ind w:left="120"/>
              <w:spacing w:after="0"/>
              <w:rPr>
                <w:sz w:val="20"/>
                <w:szCs w:val="20"/>
                <w:color w:val="auto"/>
              </w:rPr>
            </w:pPr>
            <w:r>
              <w:rPr>
                <w:rFonts w:ascii="Arial" w:cs="Arial" w:eastAsia="Arial" w:hAnsi="Arial"/>
                <w:sz w:val="15"/>
                <w:szCs w:val="15"/>
                <w:color w:val="auto"/>
              </w:rPr>
              <w:t>losses on marketable securities, net</w:t>
            </w: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2"/>
        </w:trPr>
        <w:tc>
          <w:tcPr>
            <w:tcW w:w="18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rPr>
              <w:t>of taxes</w:t>
            </w:r>
          </w:p>
        </w:tc>
        <w:tc>
          <w:tcPr>
            <w:tcW w:w="6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tcBorders>
              <w:right w:val="single" w:sz="8" w:color="CCEEFF"/>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(404)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(404)</w:t>
            </w:r>
          </w:p>
        </w:tc>
      </w:tr>
      <w:tr>
        <w:trPr>
          <w:trHeight w:val="171"/>
        </w:trPr>
        <w:tc>
          <w:tcPr>
            <w:tcW w:w="1800" w:type="dxa"/>
            <w:vAlign w:val="bottom"/>
            <w:gridSpan w:val="2"/>
          </w:tcPr>
          <w:p>
            <w:pPr>
              <w:spacing w:after="0" w:line="171" w:lineRule="exact"/>
              <w:rPr>
                <w:sz w:val="20"/>
                <w:szCs w:val="20"/>
                <w:color w:val="auto"/>
              </w:rPr>
            </w:pPr>
            <w:r>
              <w:rPr>
                <w:rFonts w:ascii="Arial" w:cs="Arial" w:eastAsia="Arial" w:hAnsi="Arial"/>
                <w:sz w:val="15"/>
                <w:szCs w:val="15"/>
                <w:color w:val="auto"/>
                <w:w w:val="95"/>
              </w:rPr>
              <w:t>Foreign currency translation</w:t>
            </w:r>
          </w:p>
        </w:tc>
        <w:tc>
          <w:tcPr>
            <w:tcW w:w="6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91"/>
        </w:trPr>
        <w:tc>
          <w:tcPr>
            <w:tcW w:w="1800" w:type="dxa"/>
            <w:vAlign w:val="bottom"/>
            <w:gridSpan w:val="2"/>
          </w:tcPr>
          <w:p>
            <w:pPr>
              <w:ind w:left="120"/>
              <w:spacing w:after="0"/>
              <w:rPr>
                <w:sz w:val="20"/>
                <w:szCs w:val="20"/>
                <w:color w:val="auto"/>
              </w:rPr>
            </w:pPr>
            <w:r>
              <w:rPr>
                <w:rFonts w:ascii="Arial" w:cs="Arial" w:eastAsia="Arial" w:hAnsi="Arial"/>
                <w:sz w:val="15"/>
                <w:szCs w:val="15"/>
                <w:color w:val="auto"/>
              </w:rPr>
              <w:t>adjustment</w:t>
            </w:r>
          </w:p>
        </w:tc>
        <w:tc>
          <w:tcPr>
            <w:tcW w:w="6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505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505</w:t>
            </w:r>
          </w:p>
        </w:tc>
        <w:tc>
          <w:tcPr>
            <w:tcW w:w="120" w:type="dxa"/>
            <w:vAlign w:val="bottom"/>
          </w:tcPr>
          <w:p>
            <w:pPr>
              <w:spacing w:after="0"/>
              <w:rPr>
                <w:sz w:val="16"/>
                <w:szCs w:val="16"/>
                <w:color w:val="auto"/>
              </w:rPr>
            </w:pPr>
          </w:p>
        </w:tc>
      </w:tr>
      <w:tr>
        <w:trPr>
          <w:trHeight w:val="182"/>
        </w:trPr>
        <w:tc>
          <w:tcPr>
            <w:tcW w:w="18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Net Income</w:t>
            </w:r>
          </w:p>
        </w:tc>
        <w:tc>
          <w:tcPr>
            <w:tcW w:w="6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tcBorders>
              <w:right w:val="single" w:sz="8" w:color="CCEEFF"/>
            </w:tcBorders>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4,040</w:t>
            </w:r>
          </w:p>
        </w:tc>
        <w:tc>
          <w:tcPr>
            <w:tcW w:w="9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4,040</w:t>
            </w:r>
          </w:p>
        </w:tc>
        <w:tc>
          <w:tcPr>
            <w:tcW w:w="120" w:type="dxa"/>
            <w:vAlign w:val="bottom"/>
            <w:shd w:val="clear" w:color="auto" w:fill="CCEEFF"/>
          </w:tcPr>
          <w:p>
            <w:pPr>
              <w:spacing w:after="0"/>
              <w:rPr>
                <w:sz w:val="15"/>
                <w:szCs w:val="15"/>
                <w:color w:val="auto"/>
              </w:rPr>
            </w:pPr>
          </w:p>
        </w:tc>
      </w:tr>
      <w:tr>
        <w:trPr>
          <w:trHeight w:val="23"/>
        </w:trPr>
        <w:tc>
          <w:tcPr>
            <w:tcW w:w="840" w:type="dxa"/>
            <w:vAlign w:val="bottom"/>
            <w:shd w:val="clear" w:color="auto" w:fill="CCEEFF"/>
          </w:tcPr>
          <w:p>
            <w:pPr>
              <w:spacing w:after="0" w:line="20" w:lineRule="exact"/>
              <w:rPr>
                <w:sz w:val="1"/>
                <w:szCs w:val="1"/>
                <w:color w:val="auto"/>
              </w:rPr>
            </w:pPr>
          </w:p>
        </w:tc>
        <w:tc>
          <w:tcPr>
            <w:tcW w:w="96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82"/>
        </w:trPr>
        <w:tc>
          <w:tcPr>
            <w:tcW w:w="1800" w:type="dxa"/>
            <w:vAlign w:val="bottom"/>
            <w:gridSpan w:val="2"/>
          </w:tcPr>
          <w:p>
            <w:pPr>
              <w:spacing w:after="0"/>
              <w:rPr>
                <w:sz w:val="20"/>
                <w:szCs w:val="20"/>
                <w:color w:val="auto"/>
              </w:rPr>
            </w:pPr>
            <w:r>
              <w:rPr>
                <w:rFonts w:ascii="Arial" w:cs="Arial" w:eastAsia="Arial" w:hAnsi="Arial"/>
                <w:sz w:val="15"/>
                <w:szCs w:val="15"/>
                <w:color w:val="auto"/>
              </w:rPr>
              <w:t>Balance at April 30, 2014</w:t>
            </w:r>
          </w:p>
        </w:tc>
        <w:tc>
          <w:tcPr>
            <w:tcW w:w="60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9,163,940</w:t>
            </w:r>
          </w:p>
        </w:tc>
        <w:tc>
          <w:tcPr>
            <w:tcW w:w="2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9,164</w:t>
            </w:r>
          </w:p>
        </w:tc>
        <w:tc>
          <w:tcPr>
            <w:tcW w:w="280" w:type="dxa"/>
            <w:vAlign w:val="bottom"/>
            <w:gridSpan w:val="2"/>
          </w:tcPr>
          <w:p>
            <w:pPr>
              <w:jc w:val="right"/>
              <w:spacing w:after="0"/>
              <w:rPr>
                <w:sz w:val="20"/>
                <w:szCs w:val="20"/>
                <w:color w:val="auto"/>
              </w:rPr>
            </w:pPr>
            <w:r>
              <w:rPr>
                <w:rFonts w:ascii="Arial" w:cs="Arial" w:eastAsia="Arial" w:hAnsi="Arial"/>
                <w:sz w:val="15"/>
                <w:szCs w:val="15"/>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5"/>
                <w:szCs w:val="15"/>
                <w:color w:val="auto"/>
              </w:rPr>
              <w:t>53,181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220"/>
              <w:spacing w:after="0"/>
              <w:rPr>
                <w:sz w:val="20"/>
                <w:szCs w:val="20"/>
                <w:color w:val="auto"/>
              </w:rPr>
            </w:pPr>
            <w:r>
              <w:rPr>
                <w:rFonts w:ascii="Arial" w:cs="Arial" w:eastAsia="Arial" w:hAnsi="Arial"/>
                <w:sz w:val="15"/>
                <w:szCs w:val="15"/>
                <w:color w:val="auto"/>
              </w:rPr>
              <w:t>24,702</w:t>
            </w:r>
          </w:p>
        </w:tc>
        <w:tc>
          <w:tcPr>
            <w:tcW w:w="1140" w:type="dxa"/>
            <w:vAlign w:val="bottom"/>
            <w:gridSpan w:val="2"/>
          </w:tcPr>
          <w:p>
            <w:pPr>
              <w:jc w:val="right"/>
              <w:ind w:right="220"/>
              <w:spacing w:after="0"/>
              <w:rPr>
                <w:sz w:val="20"/>
                <w:szCs w:val="20"/>
                <w:color w:val="auto"/>
              </w:rPr>
            </w:pPr>
            <w:r>
              <w:rPr>
                <w:rFonts w:ascii="Arial" w:cs="Arial" w:eastAsia="Arial" w:hAnsi="Arial"/>
                <w:sz w:val="15"/>
                <w:szCs w:val="15"/>
                <w:color w:val="auto"/>
              </w:rPr>
              <w:t>593,131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80"/>
              <w:spacing w:after="0"/>
              <w:rPr>
                <w:sz w:val="20"/>
                <w:szCs w:val="20"/>
                <w:color w:val="auto"/>
              </w:rPr>
            </w:pPr>
            <w:r>
              <w:rPr>
                <w:rFonts w:ascii="Arial" w:cs="Arial" w:eastAsia="Arial" w:hAnsi="Arial"/>
                <w:sz w:val="15"/>
                <w:szCs w:val="15"/>
                <w:color w:val="auto"/>
              </w:rPr>
              <w:t>(2,715)</w:t>
            </w:r>
          </w:p>
        </w:tc>
        <w:tc>
          <w:tcPr>
            <w:tcW w:w="280" w:type="dxa"/>
            <w:vAlign w:val="bottom"/>
            <w:gridSpan w:val="2"/>
          </w:tcPr>
          <w:p>
            <w:pPr>
              <w:jc w:val="right"/>
              <w:ind w:right="24"/>
              <w:spacing w:after="0"/>
              <w:rPr>
                <w:sz w:val="20"/>
                <w:szCs w:val="20"/>
                <w:color w:val="auto"/>
              </w:rPr>
            </w:pPr>
            <w:r>
              <w:rPr>
                <w:rFonts w:ascii="Arial" w:cs="Arial" w:eastAsia="Arial" w:hAnsi="Arial"/>
                <w:sz w:val="15"/>
                <w:szCs w:val="15"/>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4,014</w:t>
            </w:r>
          </w:p>
        </w:tc>
        <w:tc>
          <w:tcPr>
            <w:tcW w:w="280" w:type="dxa"/>
            <w:vAlign w:val="bottom"/>
            <w:gridSpan w:val="2"/>
          </w:tcPr>
          <w:p>
            <w:pPr>
              <w:jc w:val="right"/>
              <w:ind w:right="100"/>
              <w:spacing w:after="0"/>
              <w:rPr>
                <w:sz w:val="20"/>
                <w:szCs w:val="20"/>
                <w:color w:val="auto"/>
              </w:rPr>
            </w:pPr>
            <w:r>
              <w:rPr>
                <w:rFonts w:ascii="Arial" w:cs="Arial" w:eastAsia="Arial" w:hAnsi="Arial"/>
                <w:sz w:val="15"/>
                <w:szCs w:val="15"/>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5"/>
                <w:szCs w:val="15"/>
                <w:color w:val="auto"/>
              </w:rPr>
              <w:t>88,346</w:t>
            </w:r>
          </w:p>
        </w:tc>
      </w:tr>
      <w:tr>
        <w:trPr>
          <w:trHeight w:val="20"/>
        </w:trPr>
        <w:tc>
          <w:tcPr>
            <w:tcW w:w="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4"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The accompanying notes are an integral part of these financial statements.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27" w:name="page28"/>
    <w:bookmarkEnd w:id="27"/>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w:t>
      </w:r>
    </w:p>
    <w:p>
      <w:pPr>
        <w:spacing w:after="0" w:line="204" w:lineRule="exact"/>
        <w:rPr>
          <w:sz w:val="20"/>
          <w:szCs w:val="20"/>
          <w:color w:val="auto"/>
        </w:rPr>
      </w:pPr>
    </w:p>
    <w:p>
      <w:pPr>
        <w:ind w:left="189" w:hanging="189"/>
        <w:spacing w:after="0"/>
        <w:tabs>
          <w:tab w:leader="none" w:pos="189" w:val="left"/>
        </w:tabs>
        <w:numPr>
          <w:ilvl w:val="0"/>
          <w:numId w:val="7"/>
        </w:numPr>
        <w:rPr>
          <w:rFonts w:ascii="Arial" w:cs="Arial" w:eastAsia="Arial" w:hAnsi="Arial"/>
          <w:sz w:val="15"/>
          <w:szCs w:val="15"/>
          <w:color w:val="auto"/>
        </w:rPr>
      </w:pPr>
      <w:r>
        <w:rPr>
          <w:rFonts w:ascii="Arial" w:cs="Arial" w:eastAsia="Arial" w:hAnsi="Arial"/>
          <w:sz w:val="15"/>
          <w:szCs w:val="15"/>
          <w:u w:val="single" w:color="auto"/>
          <w:color w:val="auto"/>
        </w:rPr>
        <w:t>Summary of Accounting Policies</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Principles of Consolidation</w:t>
      </w:r>
      <w:r>
        <w:rPr>
          <w:rFonts w:ascii="Arial" w:cs="Arial" w:eastAsia="Arial" w:hAnsi="Arial"/>
          <w:sz w:val="15"/>
          <w:szCs w:val="15"/>
          <w:color w:val="auto"/>
        </w:rPr>
        <w:t>:</w:t>
      </w:r>
    </w:p>
    <w:p>
      <w:pPr>
        <w:spacing w:after="0" w:line="217" w:lineRule="exact"/>
        <w:rPr>
          <w:sz w:val="20"/>
          <w:szCs w:val="20"/>
          <w:color w:val="auto"/>
        </w:rPr>
      </w:pPr>
    </w:p>
    <w:p>
      <w:pPr>
        <w:jc w:val="both"/>
        <w:ind w:left="9" w:firstLine="408"/>
        <w:spacing w:after="0" w:line="256" w:lineRule="auto"/>
        <w:rPr>
          <w:sz w:val="20"/>
          <w:szCs w:val="20"/>
          <w:color w:val="auto"/>
        </w:rPr>
      </w:pPr>
      <w:r>
        <w:rPr>
          <w:rFonts w:ascii="Arial" w:cs="Arial" w:eastAsia="Arial" w:hAnsi="Arial"/>
          <w:sz w:val="15"/>
          <w:szCs w:val="15"/>
          <w:color w:val="auto"/>
        </w:rPr>
        <w:t>The consolidated financial statements include the accounts of Frequency Electronics, Inc. and its wholly-owned subsidiaries (the "Company" or "Registrant"). References to “FEI” are to the parent company alone and do not refer to any of its subsidiaries. The Company is principally engaged in the design, development and manufacture of precision time and frequency control products and components for microwave integrated circuit applications. See Note 14 for information regarding the Company’s FEI-NY (which includes the subsidiaries FEI Government Systems, Inc., FEI Communications, Inc., Frequency Electronics, Inc. Asia (“FEI-Asia”) and FEI-Elcom Tech, Inc. (“FEI-Elcom”)), Gillam-FEI, and FEI-Zyfer business segments. Intercompany accounts and significant intercompany transactions are eliminated in consolidation. To accommodate the different fiscal periods of Gillam-FEI, the Company recognizes its share of net income or loss on a one month lag. Any material events which may occur during the intervening month at Gillam-FEI will be accounted for in the consolidated financial statements.</w:t>
      </w:r>
    </w:p>
    <w:p>
      <w:pPr>
        <w:spacing w:after="0" w:line="187" w:lineRule="exact"/>
        <w:rPr>
          <w:sz w:val="20"/>
          <w:szCs w:val="20"/>
          <w:color w:val="auto"/>
        </w:rPr>
      </w:pPr>
    </w:p>
    <w:p>
      <w:pPr>
        <w:jc w:val="both"/>
        <w:ind w:left="9" w:right="20" w:firstLine="408"/>
        <w:spacing w:after="0" w:line="277" w:lineRule="auto"/>
        <w:rPr>
          <w:sz w:val="20"/>
          <w:szCs w:val="20"/>
          <w:color w:val="auto"/>
        </w:rPr>
      </w:pPr>
      <w:r>
        <w:rPr>
          <w:rFonts w:ascii="Arial" w:cs="Arial" w:eastAsia="Arial" w:hAnsi="Arial"/>
          <w:sz w:val="15"/>
          <w:szCs w:val="15"/>
          <w:color w:val="auto"/>
        </w:rPr>
        <w:t>These financial statements have been prepared in conformity with United States generally accepted accounting principles (“U.S. GAAP”) and require management to make estimates and assumptions that affect amounts reported and disclosed in the financial statements and related notes. Actual results could differ from these estimates.</w:t>
      </w:r>
    </w:p>
    <w:p>
      <w:pPr>
        <w:spacing w:after="0" w:line="165"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Cash Equivalents:</w:t>
      </w:r>
    </w:p>
    <w:p>
      <w:pPr>
        <w:spacing w:after="0" w:line="217"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Company considers certificates of deposit and other highly liquid investments with maturities of three months or less when purchased to be cash equivalents. The Company places its temporary cash investments with high credit quality financial institutions. Such investments may be in excess of the FDIC insurance limit. No losses have been experienced on such investments.</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Marketable Securities:</w:t>
      </w:r>
    </w:p>
    <w:p>
      <w:pPr>
        <w:spacing w:after="0" w:line="217" w:lineRule="exact"/>
        <w:rPr>
          <w:sz w:val="20"/>
          <w:szCs w:val="20"/>
          <w:color w:val="auto"/>
        </w:rPr>
      </w:pPr>
    </w:p>
    <w:p>
      <w:pPr>
        <w:jc w:val="both"/>
        <w:ind w:left="9" w:firstLine="408"/>
        <w:spacing w:after="0" w:line="261" w:lineRule="auto"/>
        <w:rPr>
          <w:sz w:val="20"/>
          <w:szCs w:val="20"/>
          <w:color w:val="auto"/>
        </w:rPr>
      </w:pPr>
      <w:r>
        <w:rPr>
          <w:rFonts w:ascii="Arial" w:cs="Arial" w:eastAsia="Arial" w:hAnsi="Arial"/>
          <w:sz w:val="15"/>
          <w:szCs w:val="15"/>
          <w:color w:val="auto"/>
        </w:rPr>
        <w:t>Marketable securities consist of investments in common stocks, including exchange-traded funds, corporate debt securities and debt securities of U.S. Government agencies. All marketable securities were held in the custody of financial institutions; four and five institutions at April 30, 2014 and 2013, respectively. Investments in debt and equity securities are categorized as available for sale and are carried at fair value, with unrealized gains and losses excluded from income and recorded directly to stockholders' equity. The Company recognizes gains or losses when securities are sold using the specific identification method.</w:t>
      </w:r>
    </w:p>
    <w:p>
      <w:pPr>
        <w:spacing w:after="0" w:line="176"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Allowance for Doubtful Accounts:</w:t>
      </w:r>
    </w:p>
    <w:p>
      <w:pPr>
        <w:spacing w:after="0" w:line="217"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Losses from uncollectible accounts receivable are provided for by utilizing the allowance for doubtful accounts method based upon management’s estimate of uncollectible accounts. Management analyzes accounts receivable and the potential for bad debts, customer concentrations, credit worthiness, current economic trends and changes in customer payment terms when evaluating the amount recorded for the allowance for doubtful accounts.</w:t>
      </w:r>
    </w:p>
    <w:p>
      <w:pPr>
        <w:spacing w:after="0" w:line="173"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Inventories</w:t>
      </w:r>
      <w:r>
        <w:rPr>
          <w:rFonts w:ascii="Arial" w:cs="Arial" w:eastAsia="Arial" w:hAnsi="Arial"/>
          <w:sz w:val="15"/>
          <w:szCs w:val="15"/>
          <w:color w:val="auto"/>
        </w:rPr>
        <w:t>:</w:t>
      </w:r>
    </w:p>
    <w:p>
      <w:pPr>
        <w:spacing w:after="0" w:line="217" w:lineRule="exact"/>
        <w:rPr>
          <w:sz w:val="20"/>
          <w:szCs w:val="20"/>
          <w:color w:val="auto"/>
        </w:rPr>
      </w:pPr>
    </w:p>
    <w:p>
      <w:pPr>
        <w:ind w:left="409"/>
        <w:spacing w:after="0"/>
        <w:rPr>
          <w:sz w:val="20"/>
          <w:szCs w:val="20"/>
          <w:color w:val="auto"/>
        </w:rPr>
      </w:pPr>
      <w:r>
        <w:rPr>
          <w:rFonts w:ascii="Arial" w:cs="Arial" w:eastAsia="Arial" w:hAnsi="Arial"/>
          <w:sz w:val="15"/>
          <w:szCs w:val="15"/>
          <w:color w:val="auto"/>
        </w:rPr>
        <w:t>Inventories, which consist of finished goods, work-in-process, raw materials and components, are accounted for at the lower of cost (specific and average) or market.</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Property, Plant and Equipment:</w:t>
      </w:r>
    </w:p>
    <w:p>
      <w:pPr>
        <w:spacing w:after="0" w:line="217" w:lineRule="exact"/>
        <w:rPr>
          <w:sz w:val="20"/>
          <w:szCs w:val="20"/>
          <w:color w:val="auto"/>
        </w:rPr>
      </w:pPr>
    </w:p>
    <w:p>
      <w:pPr>
        <w:jc w:val="both"/>
        <w:ind w:left="9" w:right="20" w:firstLine="408"/>
        <w:spacing w:after="0" w:line="265" w:lineRule="auto"/>
        <w:rPr>
          <w:sz w:val="20"/>
          <w:szCs w:val="20"/>
          <w:color w:val="auto"/>
        </w:rPr>
      </w:pPr>
      <w:r>
        <w:rPr>
          <w:rFonts w:ascii="Arial" w:cs="Arial" w:eastAsia="Arial" w:hAnsi="Arial"/>
          <w:sz w:val="15"/>
          <w:szCs w:val="15"/>
          <w:color w:val="auto"/>
        </w:rPr>
        <w:t>Property, plant and equipment are recorded at cost and include interest on funds borrowed to finance construction. Expenditures for renewals and betterments are capitalized; maintenance and repairs are charged to income when incurred. When fixed assets are sold or retired, the cost and related accumulated depreciation and amortization are eliminated from the respective accounts and any gain or loss is credited or charged to income.</w:t>
      </w:r>
    </w:p>
    <w:p>
      <w:pPr>
        <w:spacing w:after="0" w:line="177"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If events or changes in circumstances indicate that the carrying amount of a long-lived asset may not be recoverable, the Company estimates the future cash flows expected to result from the use of the asset and its eventual disposition. If the sum of the expected future cash flows (undiscounted and without interest charges) is less than the carrying amount of the long-lived asset, an impairment loss is recognized. To date, no impairment losses have been recognized.</w:t>
      </w:r>
    </w:p>
    <w:p>
      <w:pPr>
        <w:spacing w:after="0" w:line="30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28" w:name="page29"/>
    <w:bookmarkEnd w:id="2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Depreciation and Amortization:</w:t>
      </w:r>
    </w:p>
    <w:p>
      <w:pPr>
        <w:spacing w:after="0" w:line="217"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Depreciation of fixed assets is computed on the straight-line method based upon the estimated useful lives of the assets (40 years for buildings and 3 to 10 years for other depreciable assets). Leasehold improvements and equipment acquired under capital leases are amortized on the straight-line method over the shorter of the term of the lease or the useful life of the related asset.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4"/>
          <w:szCs w:val="14"/>
          <w:color w:val="auto"/>
        </w:rPr>
        <w:t>Amortization of identifiable intangible assets is based upon the expected lives of the assets and is recorded at a rate which approximates the Company’s utilization of the assets.</w:t>
      </w:r>
    </w:p>
    <w:p>
      <w:pPr>
        <w:spacing w:after="0" w:line="22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Intangible Assets:</w:t>
      </w:r>
    </w:p>
    <w:p>
      <w:pPr>
        <w:spacing w:after="0" w:line="21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Intangible assets consist of the ISO 9000 certification arising from the acquisition of FEI-Elcom in the assignment of fair value to its acquired assets including intangibles. The certification is valued at fair value and amortized over the estimated useful life of 3 years from the date of acquisition.</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Goodwill:</w:t>
      </w:r>
    </w:p>
    <w:p>
      <w:pPr>
        <w:spacing w:after="0" w:line="217" w:lineRule="exact"/>
        <w:rPr>
          <w:sz w:val="20"/>
          <w:szCs w:val="20"/>
          <w:color w:val="auto"/>
        </w:rPr>
      </w:pPr>
    </w:p>
    <w:p>
      <w:pPr>
        <w:jc w:val="both"/>
        <w:ind w:firstLine="408"/>
        <w:spacing w:after="0" w:line="285" w:lineRule="auto"/>
        <w:rPr>
          <w:sz w:val="20"/>
          <w:szCs w:val="20"/>
          <w:color w:val="auto"/>
        </w:rPr>
      </w:pPr>
      <w:r>
        <w:rPr>
          <w:rFonts w:ascii="Arial" w:cs="Arial" w:eastAsia="Arial" w:hAnsi="Arial"/>
          <w:sz w:val="14"/>
          <w:szCs w:val="14"/>
          <w:color w:val="auto"/>
        </w:rPr>
        <w:t>The Company records goodwill as the excess of purchase price over the fair value of identifiable net assets acquired. Goodwill is tested for impairment on at least an annual basis at year end. When it is determined that the carrying value of goodwill may not be recoverable, the Company writes down the goodwill to an amount commensurate with the revised value of the acquired assets. The Company measures impairment based on revenue projections, recent transactions involving similar businesses and price/revenue multiples at which they were bought and sold, price/revenue multiples of competitors, and the present market value of publicly-traded companies in the Company’s industry.</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and Cost Recognition:</w:t>
      </w:r>
    </w:p>
    <w:p>
      <w:pPr>
        <w:spacing w:after="0" w:line="217"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5"/>
          <w:szCs w:val="15"/>
          <w:color w:val="auto"/>
        </w:rPr>
        <w:t>Revenues under larger, long-term contracts, which generally require billings based on achievement of milestones rather than delivery of product, are reported in operating results using the percentage of completion method. For U.S. Government and other fixed-price contracts that require initial design and development of the product, revenue is recognized on the cost-to-cost method. Under this method, revenue is recorded based upon the ratio that incurred costs bear to total estimated contract costs with related cost of sales recorded as the costs are incurred. Costs and estimated earnings in excess of billings on uncompleted contracts, net of billings on uncompleted contracts in excess of costs and estimated earnings, are included in current assets.</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3"/>
          <w:szCs w:val="13"/>
          <w:color w:val="auto"/>
        </w:rPr>
        <w:t>On production-type orders, revenue is recorded as units are delivered with the related cost of sales recognized on each shipment based upon a percentage of estimated final program</w:t>
      </w:r>
    </w:p>
    <w:p>
      <w:pPr>
        <w:spacing w:after="0" w:line="41" w:lineRule="exact"/>
        <w:rPr>
          <w:sz w:val="20"/>
          <w:szCs w:val="20"/>
          <w:color w:val="auto"/>
        </w:rPr>
      </w:pPr>
    </w:p>
    <w:p>
      <w:pPr>
        <w:spacing w:after="0"/>
        <w:rPr>
          <w:sz w:val="20"/>
          <w:szCs w:val="20"/>
          <w:color w:val="auto"/>
        </w:rPr>
      </w:pPr>
      <w:r>
        <w:rPr>
          <w:rFonts w:ascii="Arial" w:cs="Arial" w:eastAsia="Arial" w:hAnsi="Arial"/>
          <w:sz w:val="15"/>
          <w:szCs w:val="15"/>
          <w:color w:val="auto"/>
        </w:rPr>
        <w:t>costs.</w:t>
      </w:r>
    </w:p>
    <w:p>
      <w:pPr>
        <w:spacing w:after="0" w:line="204"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Changes in job performance on long-term and production-type orders may result in revisions to costs and revenue and are recognized in the period in which revisions are determined to be required. Provisions for anticipated losses are made in the period in which they become determinable.</w:t>
      </w:r>
    </w:p>
    <w:p>
      <w:pPr>
        <w:spacing w:after="0" w:line="169"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For customer orders in the Company’s subsidiaries, and smaller contracts or orders in the other business segments, sales of products and services to customers are reported in operating results upon shipment of the product or performance of the services pursuant to terms of the customer order.</w:t>
      </w:r>
    </w:p>
    <w:p>
      <w:pPr>
        <w:spacing w:after="0" w:line="169"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Contract costs include all direct material, direct labor costs, manufacturing overhead and other direct costs related to contract performance. Selling, general and administrative costs are charged to expense as incurred.</w:t>
      </w:r>
    </w:p>
    <w:p>
      <w:pPr>
        <w:spacing w:after="0" w:line="169" w:lineRule="exact"/>
        <w:rPr>
          <w:sz w:val="20"/>
          <w:szCs w:val="20"/>
          <w:color w:val="auto"/>
        </w:rPr>
      </w:pPr>
    </w:p>
    <w:p>
      <w:pPr>
        <w:jc w:val="both"/>
        <w:ind w:firstLine="408"/>
        <w:spacing w:after="0" w:line="314" w:lineRule="auto"/>
        <w:rPr>
          <w:sz w:val="20"/>
          <w:szCs w:val="20"/>
          <w:color w:val="auto"/>
        </w:rPr>
      </w:pPr>
      <w:r>
        <w:rPr>
          <w:rFonts w:ascii="Arial" w:cs="Arial" w:eastAsia="Arial" w:hAnsi="Arial"/>
          <w:sz w:val="14"/>
          <w:szCs w:val="14"/>
          <w:color w:val="auto"/>
        </w:rPr>
        <w:t>In accordance with industry practice, inventoried costs contain amounts relating to contracts and programs with long production cycles, a portion of which will not be realized within one year. Program costs for which production-level orders cannot be determined as probable are written down in the period in which that assessment is made.</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Comprehensive Income:</w:t>
      </w:r>
    </w:p>
    <w:p>
      <w:pPr>
        <w:spacing w:after="0" w:line="21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Comprehensive income consists of net income and other comprehensive income. Other comprehensive income includes changes in unrealized gains or losses, net of tax, on securities available for sale during the year and the effects of foreign currency translation adjustments.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29" w:name="page30"/>
    <w:bookmarkEnd w:id="29"/>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Research and Development expenses:</w:t>
      </w:r>
    </w:p>
    <w:p>
      <w:pPr>
        <w:spacing w:after="0" w:line="19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The Company engages in research and development activities to identify new applications for its core technologies, to improve existing products and to improve manufacturing processes to achieve cost reductions and manufacturing efficiencies. Research and development costs include direct labor, manufacturing overhead, direct materials and contracted services. Such costs are expensed as incurred.</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95"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 recognizes deferred tax liabilities and assets based on the expected future tax consequences of events that have been included in the financial statements or tax returns. Under this method, deferred tax liabilities and assets are determined based on the difference between the financial statement and tax bases of assets and liabilities using enacted tax rates in effect for the year in which the differences are expected to reverse. Valuation allowances are established and adjusted when necessary to increase or reduce deferred tax assets to the amount expected to be realized.</w:t>
      </w:r>
    </w:p>
    <w:p>
      <w:pPr>
        <w:spacing w:after="0" w:line="180"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 analyzes its tax positions under accounting standards which prescribe recognition thresholds that must be met before a tax benefit is recognized in the financial statements and provides guidance on de-recognition, classification, interest and penalties, accounting in interim periods, disclosure, and transition. An entity may only recognize or continue to recognize tax positions that meet a "more likely than not" threshold. When and if the Company were to recognize interest or penalties related to unrecognized tax benefits, it would be reported net of the federal tax benefit in the tax provision.</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Earnings Per Share:</w:t>
      </w:r>
    </w:p>
    <w:p>
      <w:pPr>
        <w:spacing w:after="0" w:line="217" w:lineRule="exact"/>
        <w:rPr>
          <w:sz w:val="20"/>
          <w:szCs w:val="20"/>
          <w:color w:val="auto"/>
        </w:rPr>
      </w:pPr>
    </w:p>
    <w:p>
      <w:pPr>
        <w:jc w:val="both"/>
        <w:ind w:right="20" w:firstLine="408"/>
        <w:spacing w:after="0" w:line="357" w:lineRule="auto"/>
        <w:rPr>
          <w:sz w:val="20"/>
          <w:szCs w:val="20"/>
          <w:color w:val="auto"/>
        </w:rPr>
      </w:pPr>
      <w:r>
        <w:rPr>
          <w:rFonts w:ascii="Arial" w:cs="Arial" w:eastAsia="Arial" w:hAnsi="Arial"/>
          <w:sz w:val="13"/>
          <w:szCs w:val="13"/>
          <w:color w:val="auto"/>
        </w:rPr>
        <w:t>Basic earnings per share are computed by dividing net earnings by the weighted average number of shares of common stock outstanding. Diluted earnings per share are computed by dividing net earnings by the sum of the weighted average number of shares of common stock and the if-converted effect of unexercised stock options and stock appreciation rights.</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Fair Values of Financial Instruments:</w:t>
      </w:r>
    </w:p>
    <w:p>
      <w:pPr>
        <w:spacing w:after="0" w:line="217" w:lineRule="exact"/>
        <w:rPr>
          <w:sz w:val="20"/>
          <w:szCs w:val="20"/>
          <w:color w:val="auto"/>
        </w:rPr>
      </w:pPr>
    </w:p>
    <w:p>
      <w:pPr>
        <w:jc w:val="both"/>
        <w:ind w:firstLine="408"/>
        <w:spacing w:after="0" w:line="324" w:lineRule="auto"/>
        <w:rPr>
          <w:sz w:val="20"/>
          <w:szCs w:val="20"/>
          <w:color w:val="auto"/>
        </w:rPr>
      </w:pPr>
      <w:r>
        <w:rPr>
          <w:rFonts w:ascii="Arial" w:cs="Arial" w:eastAsia="Arial" w:hAnsi="Arial"/>
          <w:sz w:val="13"/>
          <w:szCs w:val="13"/>
          <w:color w:val="auto"/>
        </w:rPr>
        <w:t>Cash and cash equivalents and short-term credit obligations are reflected in the accompanying consolidated balance sheets at amounts considered by management to reasonably approximate fair value based upon the nature of the instrument and current market conditions. Management is not aware of any factors that would significantly affect the value of these amounts. The Company also has an investment in a privately-held company, Morion, Inc. (“Morion”). The Company is unable to reasonably estimate a fair value for this investment.</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Foreign Operations and Foreign Currency Adjustments:</w:t>
      </w:r>
    </w:p>
    <w:p>
      <w:pPr>
        <w:spacing w:after="0" w:line="217"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The Company maintains manufacturing operations in Belgium and the People’s Republic of China. The Company is vulnerable to currency risks in these countries. The local currency is the functional currency of each of the Company’s non-U.S. subsidiaries. No foreign currency gains or losses are recorded on intercompany transactions since they are affected at current rates of exchange. The results of operations of foreign subsidiaries, when translated into U.S. dollars, reflect the average rates of exchange for the periods presented. The balance sheets of foreign subsidiaries, except for equity accounts which are translated at historical rates, are translated into U.S. dollars at the rates of exchange in effect on the date of the balance sheet. As a result, similar results in local currency can vary upon translation into U.S. dollars if exchange rates fluctuate significantly from one period to the next.</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0" w:name="page31"/>
    <w:bookmarkEnd w:id="3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Equity-based Compensation:</w:t>
      </w:r>
    </w:p>
    <w:p>
      <w:pPr>
        <w:spacing w:after="0" w:line="21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Company values its share-based payment transactions using the Black-Scholes valuation model. Such value is recognized as expense on a straight-line basis over the service period of the awards, which is generally the vesting period, net of estimated forfeitures.</w:t>
      </w:r>
    </w:p>
    <w:p>
      <w:pPr>
        <w:spacing w:after="0" w:line="169"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weighted average fair value of each option or stock appreciation right has been estimated on the date of grant using the Black-Scholes option pricing model with the following range of weighted average assumptions used for grants:</w:t>
      </w:r>
    </w:p>
    <w:p>
      <w:pPr>
        <w:spacing w:after="0" w:line="165" w:lineRule="exact"/>
        <w:rPr>
          <w:sz w:val="20"/>
          <w:szCs w:val="20"/>
          <w:color w:val="auto"/>
        </w:rPr>
      </w:pPr>
    </w:p>
    <w:tbl>
      <w:tblPr>
        <w:tblLayout w:type="fixed"/>
        <w:tblInd w:w="14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420" w:type="dxa"/>
            <w:vAlign w:val="bottom"/>
          </w:tcPr>
          <w:p>
            <w:pPr>
              <w:spacing w:after="0"/>
              <w:rPr>
                <w:sz w:val="17"/>
                <w:szCs w:val="17"/>
                <w:color w:val="auto"/>
              </w:rPr>
            </w:pPr>
          </w:p>
        </w:tc>
        <w:tc>
          <w:tcPr>
            <w:tcW w:w="2780" w:type="dxa"/>
            <w:vAlign w:val="bottom"/>
            <w:tcBorders>
              <w:bottom w:val="single" w:sz="8" w:color="auto"/>
            </w:tcBorders>
            <w:gridSpan w:val="4"/>
          </w:tcPr>
          <w:p>
            <w:pPr>
              <w:ind w:left="800"/>
              <w:spacing w:after="0"/>
              <w:rPr>
                <w:sz w:val="20"/>
                <w:szCs w:val="20"/>
                <w:color w:val="auto"/>
              </w:rPr>
            </w:pPr>
            <w:r>
              <w:rPr>
                <w:rFonts w:ascii="Arial" w:cs="Arial" w:eastAsia="Arial" w:hAnsi="Arial"/>
                <w:sz w:val="15"/>
                <w:szCs w:val="15"/>
                <w:b w:val="1"/>
                <w:bCs w:val="1"/>
                <w:color w:val="auto"/>
              </w:rPr>
              <w:t>Years ended April 30</w:t>
            </w:r>
          </w:p>
        </w:tc>
        <w:tc>
          <w:tcPr>
            <w:tcW w:w="20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184"/>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1140" w:type="dxa"/>
            <w:vAlign w:val="bottom"/>
            <w:tcBorders>
              <w:bottom w:val="single" w:sz="8" w:color="auto"/>
            </w:tcBorders>
          </w:tcPr>
          <w:p>
            <w:pPr>
              <w:jc w:val="center"/>
              <w:ind w:left="84"/>
              <w:spacing w:after="0"/>
              <w:rPr>
                <w:sz w:val="20"/>
                <w:szCs w:val="20"/>
                <w:color w:val="auto"/>
              </w:rPr>
            </w:pPr>
            <w:r>
              <w:rPr>
                <w:rFonts w:ascii="Arial" w:cs="Arial" w:eastAsia="Arial" w:hAnsi="Arial"/>
                <w:sz w:val="15"/>
                <w:szCs w:val="15"/>
                <w:b w:val="1"/>
                <w:bCs w:val="1"/>
                <w:color w:val="auto"/>
                <w:w w:val="89"/>
              </w:rPr>
              <w:t>2014</w:t>
            </w:r>
          </w:p>
        </w:tc>
        <w:tc>
          <w:tcPr>
            <w:tcW w:w="2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Borders>
              <w:bottom w:val="single" w:sz="8" w:color="auto"/>
            </w:tcBorders>
          </w:tcPr>
          <w:p>
            <w:pPr>
              <w:jc w:val="center"/>
              <w:ind w:left="44"/>
              <w:spacing w:after="0"/>
              <w:rPr>
                <w:sz w:val="20"/>
                <w:szCs w:val="20"/>
                <w:color w:val="auto"/>
              </w:rPr>
            </w:pPr>
            <w:r>
              <w:rPr>
                <w:rFonts w:ascii="Arial" w:cs="Arial" w:eastAsia="Arial" w:hAnsi="Arial"/>
                <w:sz w:val="15"/>
                <w:szCs w:val="15"/>
                <w:b w:val="1"/>
                <w:bCs w:val="1"/>
                <w:color w:val="auto"/>
                <w:w w:val="89"/>
              </w:rPr>
              <w:t>2013</w:t>
            </w:r>
          </w:p>
        </w:tc>
        <w:tc>
          <w:tcPr>
            <w:tcW w:w="2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Expected volatility</w:t>
            </w:r>
          </w:p>
        </w:tc>
        <w:tc>
          <w:tcPr>
            <w:tcW w:w="11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w w:val="99"/>
              </w:rPr>
              <w:t>34%</w:t>
            </w:r>
          </w:p>
        </w:tc>
        <w:tc>
          <w:tcPr>
            <w:tcW w:w="11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w w:val="99"/>
              </w:rPr>
              <w:t>40%</w:t>
            </w:r>
          </w:p>
        </w:tc>
      </w:tr>
      <w:tr>
        <w:trPr>
          <w:trHeight w:val="182"/>
        </w:trPr>
        <w:tc>
          <w:tcPr>
            <w:tcW w:w="20" w:type="dxa"/>
            <w:vAlign w:val="bottom"/>
          </w:tcPr>
          <w:p>
            <w:pPr>
              <w:spacing w:after="0"/>
              <w:rPr>
                <w:sz w:val="15"/>
                <w:szCs w:val="15"/>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Dividend yield</w:t>
            </w:r>
          </w:p>
        </w:tc>
        <w:tc>
          <w:tcPr>
            <w:tcW w:w="11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Arial" w:cs="Arial" w:eastAsia="Arial" w:hAnsi="Arial"/>
                <w:sz w:val="15"/>
                <w:szCs w:val="15"/>
                <w:color w:val="auto"/>
                <w:w w:val="87"/>
              </w:rPr>
              <w:t>0.0%</w:t>
            </w:r>
          </w:p>
        </w:tc>
        <w:tc>
          <w:tcPr>
            <w:tcW w:w="1180" w:type="dxa"/>
            <w:vAlign w:val="bottom"/>
          </w:tcPr>
          <w:p>
            <w:pPr>
              <w:spacing w:after="0"/>
              <w:rPr>
                <w:sz w:val="15"/>
                <w:szCs w:val="15"/>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5"/>
                <w:szCs w:val="15"/>
                <w:color w:val="auto"/>
                <w:w w:val="87"/>
              </w:rPr>
              <w:t>0.0%</w:t>
            </w:r>
          </w:p>
        </w:tc>
      </w:tr>
      <w:tr>
        <w:trPr>
          <w:trHeight w:val="182"/>
        </w:trPr>
        <w:tc>
          <w:tcPr>
            <w:tcW w:w="20" w:type="dxa"/>
            <w:vAlign w:val="bottom"/>
          </w:tcPr>
          <w:p>
            <w:pPr>
              <w:spacing w:after="0"/>
              <w:rPr>
                <w:sz w:val="15"/>
                <w:szCs w:val="15"/>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5"/>
                <w:szCs w:val="15"/>
                <w:color w:val="auto"/>
              </w:rPr>
              <w:t>Risk-free interest rate</w:t>
            </w:r>
          </w:p>
        </w:tc>
        <w:tc>
          <w:tcPr>
            <w:tcW w:w="114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w w:val="92"/>
              </w:rPr>
              <w:t>2.45% to 2.50%</w:t>
            </w: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80" w:type="dxa"/>
            <w:vAlign w:val="bottom"/>
            <w:shd w:val="clear" w:color="auto" w:fill="CCEEFF"/>
          </w:tcPr>
          <w:p>
            <w:pPr>
              <w:jc w:val="center"/>
              <w:ind w:left="84"/>
              <w:spacing w:after="0"/>
              <w:rPr>
                <w:sz w:val="20"/>
                <w:szCs w:val="20"/>
                <w:color w:val="auto"/>
              </w:rPr>
            </w:pPr>
            <w:r>
              <w:rPr>
                <w:rFonts w:ascii="Arial" w:cs="Arial" w:eastAsia="Arial" w:hAnsi="Arial"/>
                <w:sz w:val="15"/>
                <w:szCs w:val="15"/>
                <w:color w:val="auto"/>
                <w:w w:val="92"/>
              </w:rPr>
              <w:t>1.31% to 1.35%</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191"/>
        </w:trPr>
        <w:tc>
          <w:tcPr>
            <w:tcW w:w="20" w:type="dxa"/>
            <w:vAlign w:val="bottom"/>
          </w:tcPr>
          <w:p>
            <w:pPr>
              <w:spacing w:after="0"/>
              <w:rPr>
                <w:sz w:val="16"/>
                <w:szCs w:val="16"/>
                <w:color w:val="auto"/>
              </w:rPr>
            </w:pPr>
          </w:p>
        </w:tc>
        <w:tc>
          <w:tcPr>
            <w:tcW w:w="5420" w:type="dxa"/>
            <w:vAlign w:val="bottom"/>
          </w:tcPr>
          <w:p>
            <w:pPr>
              <w:spacing w:after="0"/>
              <w:rPr>
                <w:sz w:val="20"/>
                <w:szCs w:val="20"/>
                <w:color w:val="auto"/>
              </w:rPr>
            </w:pPr>
            <w:r>
              <w:rPr>
                <w:rFonts w:ascii="Arial" w:cs="Arial" w:eastAsia="Arial" w:hAnsi="Arial"/>
                <w:sz w:val="15"/>
                <w:szCs w:val="15"/>
                <w:color w:val="auto"/>
              </w:rPr>
              <w:t>Expected lives</w:t>
            </w:r>
          </w:p>
        </w:tc>
        <w:tc>
          <w:tcPr>
            <w:tcW w:w="1140" w:type="dxa"/>
            <w:vAlign w:val="bottom"/>
          </w:tcPr>
          <w:p>
            <w:pPr>
              <w:jc w:val="center"/>
              <w:ind w:left="84"/>
              <w:spacing w:after="0"/>
              <w:rPr>
                <w:sz w:val="20"/>
                <w:szCs w:val="20"/>
                <w:color w:val="auto"/>
              </w:rPr>
            </w:pPr>
            <w:r>
              <w:rPr>
                <w:rFonts w:ascii="Arial" w:cs="Arial" w:eastAsia="Arial" w:hAnsi="Arial"/>
                <w:sz w:val="15"/>
                <w:szCs w:val="15"/>
                <w:color w:val="auto"/>
                <w:w w:val="87"/>
              </w:rPr>
              <w:t>8.5 years</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jc w:val="center"/>
              <w:ind w:left="84"/>
              <w:spacing w:after="0"/>
              <w:rPr>
                <w:sz w:val="20"/>
                <w:szCs w:val="20"/>
                <w:color w:val="auto"/>
              </w:rPr>
            </w:pPr>
            <w:r>
              <w:rPr>
                <w:rFonts w:ascii="Arial" w:cs="Arial" w:eastAsia="Arial" w:hAnsi="Arial"/>
                <w:sz w:val="15"/>
                <w:szCs w:val="15"/>
                <w:color w:val="auto"/>
                <w:w w:val="87"/>
              </w:rPr>
              <w:t>8.5 years</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r>
    </w:tbl>
    <w:p>
      <w:pPr>
        <w:spacing w:after="0" w:line="389"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The expected life assumption was determined based on the Company’s historical experience. The expected volatility assumption was based on the historical volatility of the Company’s common stock. The dividend yield assumption was determined based upon the Company’s past history of dividend payments and the Company’s current decision to suspend payment of dividends. On December 21, 2012, the Company’s Board of Directors declared a special cash dividend of $0.20 per share, payable on December 31, 2012 to shareholders of record on December 24, 2012. Due to the one-time nature of the special dividend it was not factored into the Black-Scholes fair value calculations. The risk-free interest rate assumption was determined using the implied yield currently available for zero-coupon U.S. Government issues with a remaining term equal to the expected life of the stock options.</w:t>
      </w:r>
    </w:p>
    <w:p>
      <w:pPr>
        <w:spacing w:after="0" w:line="16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 of Credit Risk</w:t>
      </w:r>
    </w:p>
    <w:p>
      <w:pPr>
        <w:spacing w:after="0" w:line="217"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5"/>
          <w:szCs w:val="15"/>
          <w:color w:val="auto"/>
        </w:rPr>
        <w:t>Financial instruments, which potentially subject the Company to concentration of credit risk, consist principally of cash and cash equivalents and trade receivables. The Company maintains accounts at several commercial banks at which the balances exceed Federal Deposit Insurance Corporation limits. The Company has not experienced any losses on such amounts. Concentration of credit risk with respect to trade receivables is generally diversified due to the large number of entities comprising the Company’s customer base and their dispersion across geographic areas principally within the United States. The Company routinely addresses the financial strength of its customers and, as a consequence, believes that its receivable credit risk exposure is limited. The Company does not require customers to post collateral.</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New Accounting Pronouncements:</w:t>
      </w:r>
    </w:p>
    <w:p>
      <w:pPr>
        <w:spacing w:after="0" w:line="217"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In May 2014, the FASB issued Accounting Standard Update (“ASU”) No. 2014-09</w:t>
      </w:r>
      <w:r>
        <w:rPr>
          <w:rFonts w:ascii="Arial" w:cs="Arial" w:eastAsia="Arial" w:hAnsi="Arial"/>
          <w:sz w:val="14"/>
          <w:szCs w:val="14"/>
          <w:i w:val="1"/>
          <w:iCs w:val="1"/>
          <w:color w:val="auto"/>
        </w:rPr>
        <w:t>, Revenue from Contracts with Customers (Topic 606)</w:t>
      </w:r>
      <w:r>
        <w:rPr>
          <w:rFonts w:ascii="Arial" w:cs="Arial" w:eastAsia="Arial" w:hAnsi="Arial"/>
          <w:sz w:val="14"/>
          <w:szCs w:val="14"/>
          <w:color w:val="auto"/>
        </w:rPr>
        <w:t>. ASU 2014-09 eliminates most of the existing industry-specific revenue recognition guidance and significantly expands related disclosures. The required disclosures will include both quantitative and qualitative information about the amount, timing and uncertainty of revenue from contracts with customers and the significant judgments used. Entities can retrospectively apply ASU 2014-09 or use an alternative transition method. This ASU is effective for public companies for annual reporting periods beginning on or after December 15, 2016 and for the Company, must be adopted for its fiscal year 2018 beginning on May 1, 2017. The Company is in the process of determining the effect that ASU 2014-09 may have on its financial statements.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1" w:name="page32"/>
    <w:bookmarkEnd w:id="31"/>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left="9" w:firstLine="408"/>
        <w:spacing w:after="0" w:line="256" w:lineRule="auto"/>
        <w:rPr>
          <w:sz w:val="20"/>
          <w:szCs w:val="20"/>
          <w:color w:val="auto"/>
        </w:rPr>
      </w:pPr>
      <w:r>
        <w:rPr>
          <w:rFonts w:ascii="Arial" w:cs="Arial" w:eastAsia="Arial" w:hAnsi="Arial"/>
          <w:sz w:val="15"/>
          <w:szCs w:val="15"/>
          <w:color w:val="auto"/>
        </w:rPr>
        <w:t>In February 2013, the FASB issued ASU No. 2013-02</w:t>
      </w:r>
      <w:r>
        <w:rPr>
          <w:rFonts w:ascii="Arial" w:cs="Arial" w:eastAsia="Arial" w:hAnsi="Arial"/>
          <w:sz w:val="15"/>
          <w:szCs w:val="15"/>
          <w:i w:val="1"/>
          <w:iCs w:val="1"/>
          <w:color w:val="auto"/>
        </w:rPr>
        <w:t>, Other Comprehensive Income</w:t>
      </w:r>
      <w:r>
        <w:rPr>
          <w:rFonts w:ascii="Arial" w:cs="Arial" w:eastAsia="Arial" w:hAnsi="Arial"/>
          <w:sz w:val="15"/>
          <w:szCs w:val="15"/>
          <w:color w:val="auto"/>
        </w:rPr>
        <w:t>. The amendments require an entity to provide information about the amounts reclassified out of accumulated other comprehensive income by component. In addition, an entity is required to present, either on the face of the statement where net income is presented or in the notes, significant amounts reclassified out of accumulated other comprehensive income by the respective line items of net income but only if the amount reclassified is required under U.S. GAAP to be reclassified to net income in its entirety in the same reporting period. For other amounts that are not required under U.S. GAAP to be reclassified in their entirety to net income, an entity is required to cross-reference to other disclosures required under U.S. GAAP that provide additional detail about those amounts. This ASU is effective for periods beginning after December 15, 2012 and the Company adopted ASU 2013-02 in fiscal year 2014 which began on May 1, 2013. Such adoption is reflected in the Company’s financial statements resulting in additional disclosures. (See Note 15.)</w:t>
      </w:r>
    </w:p>
    <w:p>
      <w:pPr>
        <w:spacing w:after="0" w:line="187" w:lineRule="exact"/>
        <w:rPr>
          <w:sz w:val="20"/>
          <w:szCs w:val="20"/>
          <w:color w:val="auto"/>
        </w:rPr>
      </w:pPr>
    </w:p>
    <w:p>
      <w:pPr>
        <w:jc w:val="both"/>
        <w:ind w:left="9" w:firstLine="408"/>
        <w:spacing w:after="0" w:line="256" w:lineRule="auto"/>
        <w:rPr>
          <w:sz w:val="20"/>
          <w:szCs w:val="20"/>
          <w:color w:val="auto"/>
        </w:rPr>
      </w:pPr>
      <w:r>
        <w:rPr>
          <w:rFonts w:ascii="Arial" w:cs="Arial" w:eastAsia="Arial" w:hAnsi="Arial"/>
          <w:sz w:val="15"/>
          <w:szCs w:val="15"/>
          <w:color w:val="auto"/>
        </w:rPr>
        <w:t xml:space="preserve">In July 2012, the FASB issued ASU No. 2012-02, </w:t>
      </w:r>
      <w:r>
        <w:rPr>
          <w:rFonts w:ascii="Arial" w:cs="Arial" w:eastAsia="Arial" w:hAnsi="Arial"/>
          <w:sz w:val="15"/>
          <w:szCs w:val="15"/>
          <w:i w:val="1"/>
          <w:iCs w:val="1"/>
          <w:color w:val="auto"/>
        </w:rPr>
        <w:t>Intangibles – Goodwill and Other (Topic 350): Test Indefinite-Lived Intangible Assets for Impairment</w:t>
      </w:r>
      <w:r>
        <w:rPr>
          <w:rFonts w:ascii="Arial" w:cs="Arial" w:eastAsia="Arial" w:hAnsi="Arial"/>
          <w:sz w:val="15"/>
          <w:szCs w:val="15"/>
          <w:color w:val="auto"/>
        </w:rPr>
        <w:t xml:space="preserve">. Under the requirements of ASU 2012-02 an entity has the option to assess qualitative factors when testing indefinite-lived intangible assets annually to determine whether it is more likely than not that the asset is not impaired. An entity also has the option to bypass the qualitative assessment for any indefinite-lived intangible asset in any period and proceed directly to performing the quantitative impairment test or resume performing the qualitative assessment in any subsequent period. If, after assessing the totality of events and circumstances, an entity concludes that it is more likely than not that the indefinite-lived intangible asset is impaired, then it is required to determine the fair value of the indefinite-lived intangible asset and perform the quantitative impairment test by comparing the fair value with the carrying amount in accordance with </w:t>
      </w:r>
      <w:r>
        <w:rPr>
          <w:rFonts w:ascii="Arial" w:cs="Arial" w:eastAsia="Arial" w:hAnsi="Arial"/>
          <w:sz w:val="15"/>
          <w:szCs w:val="15"/>
          <w:i w:val="1"/>
          <w:iCs w:val="1"/>
          <w:color w:val="auto"/>
        </w:rPr>
        <w:t>Subtopic 350-30</w:t>
      </w:r>
      <w:r>
        <w:rPr>
          <w:rFonts w:ascii="Arial" w:cs="Arial" w:eastAsia="Arial" w:hAnsi="Arial"/>
          <w:sz w:val="15"/>
          <w:szCs w:val="15"/>
          <w:color w:val="auto"/>
        </w:rPr>
        <w:t>. ASU 2012-02 is effective for annual and interim impairment tests performed for fiscal years beginning after September 15, 2012. The Company adopted ASU 2012-02 for its fiscal year 2014 which began on May 1, 2013. The adoption of this ASU had no material impact on the Company’s financial statements.</w:t>
      </w:r>
    </w:p>
    <w:p>
      <w:pPr>
        <w:spacing w:after="0" w:line="184" w:lineRule="exact"/>
        <w:rPr>
          <w:sz w:val="20"/>
          <w:szCs w:val="20"/>
          <w:color w:val="auto"/>
        </w:rPr>
      </w:pPr>
    </w:p>
    <w:p>
      <w:pPr>
        <w:ind w:left="369" w:hanging="369"/>
        <w:spacing w:after="0"/>
        <w:tabs>
          <w:tab w:leader="none" w:pos="369" w:val="left"/>
        </w:tabs>
        <w:numPr>
          <w:ilvl w:val="0"/>
          <w:numId w:val="8"/>
        </w:numPr>
        <w:rPr>
          <w:rFonts w:ascii="Arial" w:cs="Arial" w:eastAsia="Arial" w:hAnsi="Arial"/>
          <w:sz w:val="15"/>
          <w:szCs w:val="15"/>
          <w:color w:val="auto"/>
        </w:rPr>
      </w:pPr>
      <w:r>
        <w:rPr>
          <w:rFonts w:ascii="Arial" w:cs="Arial" w:eastAsia="Arial" w:hAnsi="Arial"/>
          <w:sz w:val="15"/>
          <w:szCs w:val="15"/>
          <w:u w:val="single" w:color="auto"/>
          <w:color w:val="auto"/>
        </w:rPr>
        <w:t>Earnings Per Share</w:t>
      </w:r>
    </w:p>
    <w:p>
      <w:pPr>
        <w:spacing w:after="0" w:line="213" w:lineRule="exact"/>
        <w:rPr>
          <w:sz w:val="20"/>
          <w:szCs w:val="20"/>
          <w:color w:val="auto"/>
        </w:rPr>
      </w:pPr>
    </w:p>
    <w:p>
      <w:pPr>
        <w:ind w:left="409"/>
        <w:spacing w:after="0"/>
        <w:rPr>
          <w:sz w:val="20"/>
          <w:szCs w:val="20"/>
          <w:color w:val="auto"/>
        </w:rPr>
      </w:pPr>
      <w:r>
        <w:rPr>
          <w:rFonts w:ascii="Arial" w:cs="Arial" w:eastAsia="Arial" w:hAnsi="Arial"/>
          <w:sz w:val="15"/>
          <w:szCs w:val="15"/>
          <w:color w:val="auto"/>
        </w:rPr>
        <w:t>Reconciliations of the weighted average shares outstanding for basic and diluted Earnings Per Share are as follows:</w:t>
      </w:r>
    </w:p>
    <w:p>
      <w:pPr>
        <w:spacing w:after="0" w:line="187" w:lineRule="exact"/>
        <w:rPr>
          <w:sz w:val="20"/>
          <w:szCs w:val="20"/>
          <w:color w:val="auto"/>
        </w:rPr>
      </w:pPr>
    </w:p>
    <w:tbl>
      <w:tblPr>
        <w:tblLayout w:type="fixed"/>
        <w:tblInd w:w="1429"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3080" w:type="dxa"/>
            <w:vAlign w:val="bottom"/>
            <w:gridSpan w:val="4"/>
          </w:tcPr>
          <w:p>
            <w:pPr>
              <w:ind w:left="780"/>
              <w:spacing w:after="0"/>
              <w:rPr>
                <w:sz w:val="20"/>
                <w:szCs w:val="20"/>
                <w:color w:val="auto"/>
              </w:rPr>
            </w:pPr>
            <w:r>
              <w:rPr>
                <w:rFonts w:ascii="Arial" w:cs="Arial" w:eastAsia="Arial" w:hAnsi="Arial"/>
                <w:sz w:val="15"/>
                <w:szCs w:val="15"/>
                <w:b w:val="1"/>
                <w:bCs w:val="1"/>
                <w:color w:val="auto"/>
              </w:rPr>
              <w:t>Years ended April 30,</w:t>
            </w:r>
          </w:p>
        </w:tc>
      </w:tr>
      <w:tr>
        <w:trPr>
          <w:trHeight w:val="184"/>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2014</w:t>
            </w:r>
          </w:p>
        </w:tc>
        <w:tc>
          <w:tcPr>
            <w:tcW w:w="2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Basic EPS Shares outstanding (weighted average)</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8,526,576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8,412,633</w:t>
            </w:r>
          </w:p>
        </w:tc>
        <w:tc>
          <w:tcPr>
            <w:tcW w:w="1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480" w:type="dxa"/>
            <w:vAlign w:val="bottom"/>
          </w:tcPr>
          <w:p>
            <w:pPr>
              <w:spacing w:after="0"/>
              <w:rPr>
                <w:sz w:val="20"/>
                <w:szCs w:val="20"/>
                <w:color w:val="auto"/>
              </w:rPr>
            </w:pPr>
            <w:r>
              <w:rPr>
                <w:rFonts w:ascii="Arial" w:cs="Arial" w:eastAsia="Arial" w:hAnsi="Arial"/>
                <w:sz w:val="15"/>
                <w:szCs w:val="15"/>
                <w:color w:val="auto"/>
              </w:rPr>
              <w:t>Effect of Dilutive Securities</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290,381</w:t>
            </w:r>
          </w:p>
        </w:tc>
        <w:tc>
          <w:tcPr>
            <w:tcW w:w="20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192,018</w:t>
            </w:r>
          </w:p>
        </w:tc>
        <w:tc>
          <w:tcPr>
            <w:tcW w:w="100" w:type="dxa"/>
            <w:vAlign w:val="bottom"/>
          </w:tcPr>
          <w:p>
            <w:pPr>
              <w:spacing w:after="0"/>
              <w:rPr>
                <w:sz w:val="16"/>
                <w:szCs w:val="16"/>
                <w:color w:val="auto"/>
              </w:rPr>
            </w:pPr>
          </w:p>
        </w:tc>
      </w:tr>
      <w:tr>
        <w:trPr>
          <w:trHeight w:val="222"/>
        </w:trPr>
        <w:tc>
          <w:tcPr>
            <w:tcW w:w="20" w:type="dxa"/>
            <w:vAlign w:val="bottom"/>
          </w:tcPr>
          <w:p>
            <w:pPr>
              <w:spacing w:after="0"/>
              <w:rPr>
                <w:sz w:val="19"/>
                <w:szCs w:val="19"/>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Diluted EPS Shares outstanding</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8,816,957</w:t>
            </w:r>
          </w:p>
        </w:tc>
        <w:tc>
          <w:tcPr>
            <w:tcW w:w="200" w:type="dxa"/>
            <w:vAlign w:val="bottom"/>
            <w:tcBorders>
              <w:bottom w:val="single" w:sz="8" w:color="CCEEFF"/>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8,604,651</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171" w:lineRule="exact"/>
        <w:rPr>
          <w:sz w:val="20"/>
          <w:szCs w:val="20"/>
          <w:color w:val="auto"/>
        </w:rPr>
      </w:pPr>
    </w:p>
    <w:p>
      <w:pPr>
        <w:jc w:val="both"/>
        <w:ind w:left="9" w:right="20" w:firstLine="408"/>
        <w:spacing w:after="0" w:line="324" w:lineRule="auto"/>
        <w:rPr>
          <w:sz w:val="20"/>
          <w:szCs w:val="20"/>
          <w:color w:val="auto"/>
        </w:rPr>
      </w:pPr>
      <w:r>
        <w:rPr>
          <w:rFonts w:ascii="Arial" w:cs="Arial" w:eastAsia="Arial" w:hAnsi="Arial"/>
          <w:sz w:val="13"/>
          <w:szCs w:val="13"/>
          <w:color w:val="auto"/>
        </w:rPr>
        <w:t>Dilutive securities consist of unexercised stock options and stock appreciation rights (“SARS”). The computation of diluted shares outstanding excludes those options and SARS with an exercise price in excess of the average market price of the Company’s common shares during the periods presented. The inclusion of such options and SARS in the computation of earnings per share would have been antidilutive. For the years ended April 30, 2014 and 2013, the number of excluded options and SARS were 270,875 and 939,375, respectively.</w:t>
      </w:r>
    </w:p>
    <w:p>
      <w:pPr>
        <w:spacing w:after="0" w:line="268"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32" w:name="page33"/>
    <w:bookmarkEnd w:id="3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181" w:lineRule="exact"/>
        <w:rPr>
          <w:sz w:val="20"/>
          <w:szCs w:val="20"/>
          <w:color w:val="auto"/>
        </w:rPr>
      </w:pPr>
    </w:p>
    <w:p>
      <w:pPr>
        <w:ind w:left="369" w:hanging="369"/>
        <w:spacing w:after="0"/>
        <w:tabs>
          <w:tab w:leader="none" w:pos="369" w:val="left"/>
        </w:tabs>
        <w:numPr>
          <w:ilvl w:val="0"/>
          <w:numId w:val="9"/>
        </w:numPr>
        <w:rPr>
          <w:rFonts w:ascii="Arial" w:cs="Arial" w:eastAsia="Arial" w:hAnsi="Arial"/>
          <w:sz w:val="15"/>
          <w:szCs w:val="15"/>
          <w:color w:val="auto"/>
        </w:rPr>
      </w:pPr>
      <w:r>
        <w:rPr>
          <w:rFonts w:ascii="Arial" w:cs="Arial" w:eastAsia="Arial" w:hAnsi="Arial"/>
          <w:sz w:val="15"/>
          <w:szCs w:val="15"/>
          <w:u w:val="single" w:color="auto"/>
          <w:color w:val="auto"/>
        </w:rPr>
        <w:t>Costs and Estimated Earnings in Excess of Billings</w:t>
      </w:r>
    </w:p>
    <w:p>
      <w:pPr>
        <w:spacing w:after="0" w:line="213" w:lineRule="exact"/>
        <w:rPr>
          <w:sz w:val="20"/>
          <w:szCs w:val="20"/>
          <w:color w:val="auto"/>
        </w:rPr>
      </w:pPr>
    </w:p>
    <w:p>
      <w:pPr>
        <w:ind w:left="409"/>
        <w:spacing w:after="0"/>
        <w:rPr>
          <w:sz w:val="20"/>
          <w:szCs w:val="20"/>
          <w:color w:val="auto"/>
        </w:rPr>
      </w:pPr>
      <w:r>
        <w:rPr>
          <w:rFonts w:ascii="Arial" w:cs="Arial" w:eastAsia="Arial" w:hAnsi="Arial"/>
          <w:sz w:val="15"/>
          <w:szCs w:val="15"/>
          <w:color w:val="auto"/>
        </w:rPr>
        <w:t>At April 30, 2014 and 2013, costs and estimated earnings in excess of billings, net, consist of the following:</w:t>
      </w:r>
    </w:p>
    <w:p>
      <w:pPr>
        <w:spacing w:after="0" w:line="209" w:lineRule="exact"/>
        <w:rPr>
          <w:sz w:val="20"/>
          <w:szCs w:val="20"/>
          <w:color w:val="auto"/>
        </w:rPr>
      </w:pPr>
    </w:p>
    <w:tbl>
      <w:tblPr>
        <w:tblLayout w:type="fixed"/>
        <w:tblInd w:w="1429"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2014</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ind w:right="84"/>
              <w:spacing w:after="0"/>
              <w:rPr>
                <w:sz w:val="20"/>
                <w:szCs w:val="20"/>
                <w:color w:val="auto"/>
              </w:rPr>
            </w:pPr>
            <w:r>
              <w:rPr>
                <w:rFonts w:ascii="Arial" w:cs="Arial" w:eastAsia="Arial" w:hAnsi="Arial"/>
                <w:sz w:val="15"/>
                <w:szCs w:val="15"/>
                <w:color w:val="auto"/>
              </w:rPr>
              <w:t>(in</w:t>
            </w:r>
          </w:p>
        </w:tc>
        <w:tc>
          <w:tcPr>
            <w:tcW w:w="640" w:type="dxa"/>
            <w:vAlign w:val="bottom"/>
            <w:gridSpan w:val="3"/>
          </w:tcPr>
          <w:p>
            <w:pPr>
              <w:jc w:val="right"/>
              <w:ind w:right="100"/>
              <w:spacing w:after="0"/>
              <w:rPr>
                <w:sz w:val="20"/>
                <w:szCs w:val="20"/>
                <w:color w:val="auto"/>
              </w:rPr>
            </w:pPr>
            <w:r>
              <w:rPr>
                <w:rFonts w:ascii="Arial" w:cs="Arial" w:eastAsia="Arial" w:hAnsi="Arial"/>
                <w:sz w:val="15"/>
                <w:szCs w:val="15"/>
                <w:color w:val="auto"/>
                <w:w w:val="70"/>
              </w:rPr>
              <w:t>thousands)</w:t>
            </w: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Costs and estimated earnings in excess of billings</w:t>
            </w:r>
          </w:p>
        </w:tc>
        <w:tc>
          <w:tcPr>
            <w:tcW w:w="214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11,965</w:t>
            </w:r>
          </w:p>
        </w:tc>
        <w:tc>
          <w:tcPr>
            <w:tcW w:w="120" w:type="dxa"/>
            <w:vAlign w:val="bottom"/>
            <w:shd w:val="clear" w:color="auto" w:fill="CCEEFF"/>
          </w:tcPr>
          <w:p>
            <w:pPr>
              <w:spacing w:after="0"/>
              <w:rPr>
                <w:sz w:val="15"/>
                <w:szCs w:val="15"/>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10,228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240" w:type="dxa"/>
            <w:vAlign w:val="bottom"/>
          </w:tcPr>
          <w:p>
            <w:pPr>
              <w:spacing w:after="0"/>
              <w:rPr>
                <w:sz w:val="20"/>
                <w:szCs w:val="20"/>
                <w:color w:val="auto"/>
              </w:rPr>
            </w:pPr>
            <w:r>
              <w:rPr>
                <w:rFonts w:ascii="Arial" w:cs="Arial" w:eastAsia="Arial" w:hAnsi="Arial"/>
                <w:sz w:val="15"/>
                <w:szCs w:val="15"/>
                <w:color w:val="auto"/>
              </w:rPr>
              <w:t>Billings in excess of costs and estimated earnings</w:t>
            </w:r>
          </w:p>
        </w:tc>
        <w:tc>
          <w:tcPr>
            <w:tcW w:w="1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gridSpan w:val="2"/>
          </w:tcPr>
          <w:p>
            <w:pPr>
              <w:jc w:val="right"/>
              <w:ind w:right="4"/>
              <w:spacing w:after="0"/>
              <w:rPr>
                <w:sz w:val="20"/>
                <w:szCs w:val="20"/>
                <w:color w:val="auto"/>
              </w:rPr>
            </w:pPr>
            <w:r>
              <w:rPr>
                <w:rFonts w:ascii="Arial" w:cs="Arial" w:eastAsia="Arial" w:hAnsi="Arial"/>
                <w:sz w:val="15"/>
                <w:szCs w:val="15"/>
                <w:color w:val="auto"/>
              </w:rPr>
              <w:t>(1,526)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5"/>
                <w:szCs w:val="15"/>
                <w:color w:val="auto"/>
              </w:rPr>
              <w:t>(1,611)</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5"/>
                <w:szCs w:val="15"/>
                <w:color w:val="auto"/>
              </w:rPr>
              <w:t>Net asset</w:t>
            </w:r>
          </w:p>
        </w:tc>
        <w:tc>
          <w:tcPr>
            <w:tcW w:w="214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10,439</w:t>
            </w:r>
          </w:p>
        </w:tc>
        <w:tc>
          <w:tcPr>
            <w:tcW w:w="120" w:type="dxa"/>
            <w:vAlign w:val="bottom"/>
            <w:shd w:val="clear" w:color="auto" w:fill="CCEEFF"/>
          </w:tcPr>
          <w:p>
            <w:pPr>
              <w:spacing w:after="0"/>
              <w:rPr>
                <w:sz w:val="17"/>
                <w:szCs w:val="17"/>
                <w:color w:val="auto"/>
              </w:rPr>
            </w:pPr>
          </w:p>
        </w:tc>
        <w:tc>
          <w:tcPr>
            <w:tcW w:w="520" w:type="dxa"/>
            <w:vAlign w:val="bottom"/>
            <w:gridSpan w:val="2"/>
            <w:shd w:val="clear" w:color="auto" w:fill="CCEEFF"/>
          </w:tcPr>
          <w:p>
            <w:pPr>
              <w:jc w:val="right"/>
              <w:ind w:right="38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8,617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9" w:firstLine="408"/>
        <w:spacing w:after="0" w:line="261" w:lineRule="auto"/>
        <w:rPr>
          <w:sz w:val="20"/>
          <w:szCs w:val="20"/>
          <w:color w:val="auto"/>
        </w:rPr>
      </w:pPr>
      <w:r>
        <w:rPr>
          <w:rFonts w:ascii="Arial" w:cs="Arial" w:eastAsia="Arial" w:hAnsi="Arial"/>
          <w:sz w:val="15"/>
          <w:szCs w:val="15"/>
          <w:color w:val="auto"/>
        </w:rPr>
        <w:t>Such amounts represent revenue recognized on long-term contracts that had not been billed at the balance sheet dates or represent a liability for amounts billed in excess of the revenue recognized. Amounts are billed to customers pursuant to contract terms. In general, the recorded amounts will be billed and collected or revenue recognized within twelve months of the balance sheet date. Revenue on these long-term contracts is accounted for on the percentage of completion basis. During the years ended April 30, 2014 and 2013, revenue recognized under percentage of completion contracts was approximately $43.2 million and $35.6 million, respectively.</w:t>
      </w:r>
    </w:p>
    <w:p>
      <w:pPr>
        <w:spacing w:after="0" w:line="166" w:lineRule="exact"/>
        <w:rPr>
          <w:sz w:val="20"/>
          <w:szCs w:val="20"/>
          <w:color w:val="auto"/>
        </w:rPr>
      </w:pPr>
    </w:p>
    <w:tbl>
      <w:tblPr>
        <w:tblLayout w:type="fixed"/>
        <w:tblInd w:w="9" w:type="dxa"/>
        <w:tblCellMar>
          <w:top w:w="0" w:type="dxa"/>
          <w:left w:w="0" w:type="dxa"/>
          <w:bottom w:w="0" w:type="dxa"/>
          <w:right w:w="0" w:type="dxa"/>
        </w:tblCellMar>
      </w:tblPr>
      <w:tr>
        <w:trPr>
          <w:trHeight w:val="172"/>
        </w:trPr>
        <w:tc>
          <w:tcPr>
            <w:tcW w:w="240" w:type="dxa"/>
            <w:vAlign w:val="bottom"/>
          </w:tcPr>
          <w:p>
            <w:pPr>
              <w:jc w:val="right"/>
              <w:ind w:right="75"/>
              <w:spacing w:after="0"/>
              <w:rPr>
                <w:sz w:val="20"/>
                <w:szCs w:val="20"/>
                <w:color w:val="auto"/>
              </w:rPr>
            </w:pPr>
            <w:r>
              <w:rPr>
                <w:rFonts w:ascii="Arial" w:cs="Arial" w:eastAsia="Arial" w:hAnsi="Arial"/>
                <w:sz w:val="13"/>
                <w:szCs w:val="13"/>
                <w:color w:val="auto"/>
                <w:w w:val="73"/>
              </w:rPr>
              <w:t>4.</w:t>
            </w:r>
          </w:p>
        </w:tc>
        <w:tc>
          <w:tcPr>
            <w:tcW w:w="120" w:type="dxa"/>
            <w:vAlign w:val="bottom"/>
          </w:tcPr>
          <w:p>
            <w:pPr>
              <w:spacing w:after="0"/>
              <w:rPr>
                <w:sz w:val="14"/>
                <w:szCs w:val="14"/>
                <w:color w:val="auto"/>
              </w:rPr>
            </w:pPr>
          </w:p>
        </w:tc>
        <w:tc>
          <w:tcPr>
            <w:tcW w:w="6560" w:type="dxa"/>
            <w:vAlign w:val="bottom"/>
            <w:gridSpan w:val="3"/>
          </w:tcPr>
          <w:p>
            <w:pPr>
              <w:spacing w:after="0"/>
              <w:rPr>
                <w:sz w:val="20"/>
                <w:szCs w:val="20"/>
                <w:color w:val="auto"/>
              </w:rPr>
            </w:pPr>
            <w:r>
              <w:rPr>
                <w:rFonts w:ascii="Arial" w:cs="Arial" w:eastAsia="Arial" w:hAnsi="Arial"/>
                <w:sz w:val="15"/>
                <w:szCs w:val="15"/>
                <w:color w:val="auto"/>
              </w:rPr>
              <w:t>Inventories</w:t>
            </w: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58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8"/>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560" w:type="dxa"/>
            <w:vAlign w:val="bottom"/>
            <w:gridSpan w:val="3"/>
          </w:tcPr>
          <w:p>
            <w:pPr>
              <w:ind w:left="40"/>
              <w:spacing w:after="0"/>
              <w:rPr>
                <w:sz w:val="20"/>
                <w:szCs w:val="20"/>
                <w:color w:val="auto"/>
              </w:rPr>
            </w:pPr>
            <w:r>
              <w:rPr>
                <w:rFonts w:ascii="Arial" w:cs="Arial" w:eastAsia="Arial" w:hAnsi="Arial"/>
                <w:sz w:val="15"/>
                <w:szCs w:val="15"/>
                <w:color w:val="auto"/>
              </w:rPr>
              <w:t>Inventories at April 30, 2014 and 2013, respectively, consisted of the following (in thousands):</w:t>
            </w: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5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r>
      <w:tr>
        <w:trPr>
          <w:trHeight w:val="182"/>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5"/>
                <w:szCs w:val="15"/>
                <w:color w:val="auto"/>
              </w:rPr>
              <w:t>Raw Materials and Component Parts</w:t>
            </w:r>
          </w:p>
        </w:tc>
        <w:tc>
          <w:tcPr>
            <w:tcW w:w="880" w:type="dxa"/>
            <w:vAlign w:val="bottom"/>
            <w:shd w:val="clear" w:color="auto" w:fill="CCEEFF"/>
          </w:tcPr>
          <w:p>
            <w:pPr>
              <w:jc w:val="right"/>
              <w:ind w:right="724"/>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24,986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21,066</w:t>
            </w:r>
          </w:p>
        </w:tc>
        <w:tc>
          <w:tcPr>
            <w:tcW w:w="100" w:type="dxa"/>
            <w:vAlign w:val="bottom"/>
            <w:shd w:val="clear" w:color="auto" w:fill="CCEEFF"/>
          </w:tcPr>
          <w:p>
            <w:pPr>
              <w:spacing w:after="0"/>
              <w:rPr>
                <w:sz w:val="15"/>
                <w:szCs w:val="15"/>
                <w:color w:val="auto"/>
              </w:rPr>
            </w:pPr>
          </w:p>
        </w:tc>
      </w:tr>
      <w:tr>
        <w:trPr>
          <w:trHeight w:val="182"/>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80" w:type="dxa"/>
            <w:vAlign w:val="bottom"/>
          </w:tcPr>
          <w:p>
            <w:pPr>
              <w:spacing w:after="0"/>
              <w:rPr>
                <w:sz w:val="20"/>
                <w:szCs w:val="20"/>
                <w:color w:val="auto"/>
              </w:rPr>
            </w:pPr>
            <w:r>
              <w:rPr>
                <w:rFonts w:ascii="Arial" w:cs="Arial" w:eastAsia="Arial" w:hAnsi="Arial"/>
                <w:sz w:val="15"/>
                <w:szCs w:val="15"/>
                <w:color w:val="auto"/>
              </w:rPr>
              <w:t>Work in Progress</w:t>
            </w:r>
          </w:p>
        </w:tc>
        <w:tc>
          <w:tcPr>
            <w:tcW w:w="8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12,385</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13,665</w:t>
            </w:r>
          </w:p>
        </w:tc>
        <w:tc>
          <w:tcPr>
            <w:tcW w:w="100" w:type="dxa"/>
            <w:vAlign w:val="bottom"/>
          </w:tcPr>
          <w:p>
            <w:pPr>
              <w:spacing w:after="0"/>
              <w:rPr>
                <w:sz w:val="15"/>
                <w:szCs w:val="15"/>
                <w:color w:val="auto"/>
              </w:rPr>
            </w:pPr>
          </w:p>
        </w:tc>
      </w:tr>
      <w:tr>
        <w:trPr>
          <w:trHeight w:val="184"/>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Finished Goods</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3,856</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2,790</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880" w:type="dxa"/>
            <w:vAlign w:val="bottom"/>
          </w:tcPr>
          <w:p>
            <w:pPr>
              <w:jc w:val="right"/>
              <w:ind w:right="724"/>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5"/>
                <w:szCs w:val="15"/>
                <w:color w:val="auto"/>
              </w:rPr>
              <w:t>41,227</w:t>
            </w:r>
          </w:p>
        </w:tc>
        <w:tc>
          <w:tcPr>
            <w:tcW w:w="50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37,521</w:t>
            </w:r>
          </w:p>
        </w:tc>
        <w:tc>
          <w:tcPr>
            <w:tcW w:w="100" w:type="dxa"/>
            <w:vAlign w:val="bottom"/>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1" w:lineRule="exact"/>
        <w:rPr>
          <w:sz w:val="20"/>
          <w:szCs w:val="20"/>
          <w:color w:val="auto"/>
        </w:rPr>
      </w:pPr>
    </w:p>
    <w:p>
      <w:pPr>
        <w:ind w:left="9" w:firstLine="408"/>
        <w:spacing w:after="0" w:line="277" w:lineRule="auto"/>
        <w:rPr>
          <w:sz w:val="20"/>
          <w:szCs w:val="20"/>
          <w:color w:val="auto"/>
        </w:rPr>
      </w:pPr>
      <w:r>
        <w:rPr>
          <w:rFonts w:ascii="Arial" w:cs="Arial" w:eastAsia="Arial" w:hAnsi="Arial"/>
          <w:sz w:val="15"/>
          <w:szCs w:val="15"/>
          <w:color w:val="auto"/>
        </w:rPr>
        <w:t>As of April 30, 2014 and 2013, approximately $33.4 million and $29.9 million, respectively, of total inventory is located in the United States, approximately $7.1 million and $6.9 million, respectively, is located in Belgium and approximately $0.7 million and $0.7 million, respectively, is located in China.</w:t>
      </w:r>
    </w:p>
    <w:p>
      <w:pPr>
        <w:spacing w:after="0" w:line="294"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33" w:name="page34"/>
    <w:bookmarkEnd w:id="3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40" w:type="dxa"/>
            <w:vAlign w:val="bottom"/>
          </w:tcPr>
          <w:p>
            <w:pPr>
              <w:jc w:val="right"/>
              <w:ind w:right="75"/>
              <w:spacing w:after="0"/>
              <w:rPr>
                <w:sz w:val="20"/>
                <w:szCs w:val="20"/>
                <w:color w:val="auto"/>
              </w:rPr>
            </w:pPr>
            <w:r>
              <w:rPr>
                <w:rFonts w:ascii="Arial" w:cs="Arial" w:eastAsia="Arial" w:hAnsi="Arial"/>
                <w:sz w:val="13"/>
                <w:szCs w:val="13"/>
                <w:color w:val="auto"/>
                <w:w w:val="73"/>
              </w:rPr>
              <w:t>5.</w:t>
            </w:r>
          </w:p>
        </w:tc>
        <w:tc>
          <w:tcPr>
            <w:tcW w:w="120" w:type="dxa"/>
            <w:vAlign w:val="bottom"/>
          </w:tcPr>
          <w:p>
            <w:pPr>
              <w:spacing w:after="0"/>
              <w:rPr>
                <w:sz w:val="14"/>
                <w:szCs w:val="14"/>
                <w:color w:val="auto"/>
              </w:rPr>
            </w:pPr>
          </w:p>
        </w:tc>
        <w:tc>
          <w:tcPr>
            <w:tcW w:w="6300" w:type="dxa"/>
            <w:vAlign w:val="bottom"/>
            <w:gridSpan w:val="3"/>
          </w:tcPr>
          <w:p>
            <w:pPr>
              <w:spacing w:after="0"/>
              <w:rPr>
                <w:sz w:val="20"/>
                <w:szCs w:val="20"/>
                <w:color w:val="auto"/>
              </w:rPr>
            </w:pPr>
            <w:r>
              <w:rPr>
                <w:rFonts w:ascii="Arial" w:cs="Arial" w:eastAsia="Arial" w:hAnsi="Arial"/>
                <w:sz w:val="15"/>
                <w:szCs w:val="15"/>
                <w:color w:val="auto"/>
              </w:rPr>
              <w:t>Property, Plant and Equipment and Leases</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60" w:type="dxa"/>
            <w:vAlign w:val="bottom"/>
            <w:gridSpan w:val="2"/>
            <w:shd w:val="clear" w:color="auto" w:fill="000000"/>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6"/>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gridSpan w:val="3"/>
          </w:tcPr>
          <w:p>
            <w:pPr>
              <w:ind w:left="40"/>
              <w:spacing w:after="0"/>
              <w:rPr>
                <w:sz w:val="20"/>
                <w:szCs w:val="20"/>
                <w:color w:val="auto"/>
              </w:rPr>
            </w:pPr>
            <w:r>
              <w:rPr>
                <w:rFonts w:ascii="Arial" w:cs="Arial" w:eastAsia="Arial" w:hAnsi="Arial"/>
                <w:sz w:val="15"/>
                <w:szCs w:val="15"/>
                <w:color w:val="auto"/>
                <w:w w:val="95"/>
              </w:rPr>
              <w:t>Property, plant and equipment at April 30, 2014 and 2013, consists of the following (in thousands):</w:t>
            </w: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0"/>
        </w:trPr>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24"/>
              <w:spacing w:after="0"/>
              <w:rPr>
                <w:sz w:val="20"/>
                <w:szCs w:val="20"/>
                <w:color w:val="auto"/>
              </w:rPr>
            </w:pPr>
            <w:r>
              <w:rPr>
                <w:rFonts w:ascii="Arial" w:cs="Arial" w:eastAsia="Arial" w:hAnsi="Arial"/>
                <w:sz w:val="15"/>
                <w:szCs w:val="15"/>
                <w:b w:val="1"/>
                <w:bCs w:val="1"/>
                <w:color w:val="auto"/>
              </w:rPr>
              <w:t>2014</w:t>
            </w: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0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r>
      <w:tr>
        <w:trPr>
          <w:trHeight w:val="182"/>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Buildings and building improvements</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5,976</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5,477</w:t>
            </w:r>
          </w:p>
        </w:tc>
        <w:tc>
          <w:tcPr>
            <w:tcW w:w="100" w:type="dxa"/>
            <w:vAlign w:val="bottom"/>
            <w:shd w:val="clear" w:color="auto" w:fill="CCEEFF"/>
          </w:tcPr>
          <w:p>
            <w:pPr>
              <w:spacing w:after="0"/>
              <w:rPr>
                <w:sz w:val="15"/>
                <w:szCs w:val="15"/>
                <w:color w:val="auto"/>
              </w:rPr>
            </w:pPr>
          </w:p>
        </w:tc>
      </w:tr>
      <w:tr>
        <w:trPr>
          <w:trHeight w:val="184"/>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color w:val="auto"/>
              </w:rPr>
              <w:t>Machinery, equipment and furniture</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49,651</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44,758</w:t>
            </w:r>
          </w:p>
        </w:tc>
        <w:tc>
          <w:tcPr>
            <w:tcW w:w="100" w:type="dxa"/>
            <w:vAlign w:val="bottom"/>
          </w:tcPr>
          <w:p>
            <w:pPr>
              <w:spacing w:after="0"/>
              <w:rPr>
                <w:sz w:val="16"/>
                <w:szCs w:val="16"/>
                <w:color w:val="auto"/>
              </w:rPr>
            </w:pPr>
          </w:p>
        </w:tc>
      </w:tr>
      <w:tr>
        <w:trPr>
          <w:trHeight w:val="182"/>
        </w:trPr>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55,627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50,235</w:t>
            </w:r>
          </w:p>
        </w:tc>
        <w:tc>
          <w:tcPr>
            <w:tcW w:w="100" w:type="dxa"/>
            <w:vAlign w:val="bottom"/>
            <w:shd w:val="clear" w:color="auto" w:fill="CCEEFF"/>
          </w:tcPr>
          <w:p>
            <w:pPr>
              <w:spacing w:after="0"/>
              <w:rPr>
                <w:sz w:val="15"/>
                <w:szCs w:val="15"/>
                <w:color w:val="auto"/>
              </w:rPr>
            </w:pPr>
          </w:p>
        </w:tc>
      </w:tr>
      <w:tr>
        <w:trPr>
          <w:trHeight w:val="184"/>
        </w:trPr>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20" w:type="dxa"/>
            <w:vAlign w:val="bottom"/>
            <w:gridSpan w:val="2"/>
          </w:tcPr>
          <w:p>
            <w:pPr>
              <w:spacing w:after="0"/>
              <w:rPr>
                <w:sz w:val="20"/>
                <w:szCs w:val="20"/>
                <w:color w:val="auto"/>
              </w:rPr>
            </w:pPr>
            <w:r>
              <w:rPr>
                <w:rFonts w:ascii="Arial" w:cs="Arial" w:eastAsia="Arial" w:hAnsi="Arial"/>
                <w:sz w:val="15"/>
                <w:szCs w:val="15"/>
                <w:color w:val="auto"/>
              </w:rPr>
              <w:t>Less, accumulated depreciation</w:t>
            </w: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44,387</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41,919</w:t>
            </w:r>
          </w:p>
        </w:tc>
        <w:tc>
          <w:tcPr>
            <w:tcW w:w="100" w:type="dxa"/>
            <w:vAlign w:val="bottom"/>
          </w:tcPr>
          <w:p>
            <w:pPr>
              <w:spacing w:after="0"/>
              <w:rPr>
                <w:sz w:val="16"/>
                <w:szCs w:val="16"/>
                <w:color w:val="auto"/>
              </w:rPr>
            </w:pPr>
          </w:p>
        </w:tc>
      </w:tr>
      <w:tr>
        <w:trPr>
          <w:trHeight w:val="202"/>
        </w:trPr>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740" w:type="dxa"/>
            <w:vAlign w:val="bottom"/>
            <w:shd w:val="clear" w:color="auto" w:fill="CCEEFF"/>
          </w:tcPr>
          <w:p>
            <w:pPr>
              <w:spacing w:after="0"/>
              <w:rPr>
                <w:sz w:val="17"/>
                <w:szCs w:val="17"/>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11,240</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8,316</w:t>
            </w:r>
          </w:p>
        </w:tc>
        <w:tc>
          <w:tcPr>
            <w:tcW w:w="100" w:type="dxa"/>
            <w:vAlign w:val="bottom"/>
            <w:shd w:val="clear" w:color="auto" w:fill="CCEEFF"/>
          </w:tcPr>
          <w:p>
            <w:pPr>
              <w:spacing w:after="0"/>
              <w:rPr>
                <w:sz w:val="17"/>
                <w:szCs w:val="17"/>
                <w:color w:val="auto"/>
              </w:rPr>
            </w:pPr>
          </w:p>
        </w:tc>
      </w:tr>
      <w:tr>
        <w:trPr>
          <w:trHeight w:val="20"/>
        </w:trPr>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Depreciation and amortization expense for the years ended April 30, 2014 and 2013 was $2,309,000 and $2,250,000, respectively.</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Maintenance and repairs charged to operations for the years ended April 30, 2014 and 2013 was approximately $940,000 and $993,000, respectively.</w:t>
      </w:r>
    </w:p>
    <w:p>
      <w:pPr>
        <w:spacing w:after="0" w:line="213" w:lineRule="exact"/>
        <w:rPr>
          <w:sz w:val="20"/>
          <w:szCs w:val="20"/>
          <w:color w:val="auto"/>
        </w:rPr>
      </w:pPr>
    </w:p>
    <w:p>
      <w:pPr>
        <w:jc w:val="both"/>
        <w:ind w:firstLine="408"/>
        <w:spacing w:after="0" w:line="357" w:lineRule="auto"/>
        <w:rPr>
          <w:sz w:val="20"/>
          <w:szCs w:val="20"/>
          <w:color w:val="auto"/>
        </w:rPr>
      </w:pPr>
      <w:r>
        <w:rPr>
          <w:rFonts w:ascii="Arial" w:cs="Arial" w:eastAsia="Arial" w:hAnsi="Arial"/>
          <w:sz w:val="13"/>
          <w:szCs w:val="13"/>
          <w:color w:val="auto"/>
        </w:rPr>
        <w:t>The Company leases its Long Island, New York headquarters building at an annual rent of $800,000 following the Company’s exercise of its option to renew the lease for a second 5-year period. The lease will end in January 2019. Under the terms of the lease, the Company is required to pay its proportionate share of real estate taxes, insurance and other charges.</w:t>
      </w:r>
    </w:p>
    <w:p>
      <w:pPr>
        <w:spacing w:after="0" w:line="122"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5"/>
          <w:szCs w:val="15"/>
          <w:color w:val="auto"/>
        </w:rPr>
        <w:t>In addition, the Company’s subsidiaries in New Jersey, China, France and California lease their office and manufacturing facilities. FEI-Elcom leases 32,000 square feet of office and manufacturing space at current monthly rental of approximately $28,000 in the last two years of the lease which expires in March 2016. The lease for the FEI-Asia facility is for a one-year term with monthly rent of $6,800 through February 2015. FEI-Zyfer leases office and manufacturing space encompassing 27,850 square feet. Monthly rental payments are currently $29,500 and increase each year over the remaining 40 months of the lease term. Satel-FEI, a wholly-owned subsidiary of Gillam-FEI, occupies office space under a 9-year lease, cancelable after three years, at an approximate rate of $1,100 per month.</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Rent expense under operating leases was approximately $1.5 million and $1.3 million for the fiscal years ended April 30, 2014 and 2013. The Company records rent expense on its New York building and FEI-Zyfer facility on the straight-line method over the lives of the respective leases. As a result, as of April 30, 2014 and 2013, the Company’s balance sheet includes deferred rent payable of approximately $380,000 and $310,000, respectively, which will be recognized over the respective rental periods.</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4" w:name="page35"/>
    <w:bookmarkEnd w:id="3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60" w:type="dxa"/>
            <w:vAlign w:val="bottom"/>
          </w:tcPr>
          <w:p>
            <w:pPr>
              <w:spacing w:after="0"/>
              <w:rPr>
                <w:sz w:val="16"/>
                <w:szCs w:val="16"/>
                <w:color w:val="auto"/>
              </w:rPr>
            </w:pPr>
          </w:p>
        </w:tc>
        <w:tc>
          <w:tcPr>
            <w:tcW w:w="6260" w:type="dxa"/>
            <w:vAlign w:val="bottom"/>
            <w:gridSpan w:val="5"/>
          </w:tcPr>
          <w:p>
            <w:pPr>
              <w:ind w:left="40"/>
              <w:spacing w:after="0"/>
              <w:rPr>
                <w:sz w:val="20"/>
                <w:szCs w:val="20"/>
                <w:color w:val="auto"/>
              </w:rPr>
            </w:pPr>
            <w:r>
              <w:rPr>
                <w:rFonts w:ascii="Arial" w:cs="Arial" w:eastAsia="Arial" w:hAnsi="Arial"/>
                <w:sz w:val="15"/>
                <w:szCs w:val="15"/>
                <w:color w:val="auto"/>
                <w:w w:val="97"/>
              </w:rPr>
              <w:t>Future minimum lease payments required by the operating leases are as follows (in thousands):</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3"/>
        </w:trPr>
        <w:tc>
          <w:tcPr>
            <w:tcW w:w="3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920" w:type="dxa"/>
            <w:vAlign w:val="bottom"/>
            <w:gridSpan w:val="4"/>
          </w:tcPr>
          <w:p>
            <w:pPr>
              <w:ind w:left="1160"/>
              <w:spacing w:after="0"/>
              <w:rPr>
                <w:sz w:val="20"/>
                <w:szCs w:val="20"/>
                <w:color w:val="auto"/>
              </w:rPr>
            </w:pPr>
            <w:r>
              <w:rPr>
                <w:rFonts w:ascii="Arial" w:cs="Arial" w:eastAsia="Arial" w:hAnsi="Arial"/>
                <w:sz w:val="15"/>
                <w:szCs w:val="15"/>
                <w:b w:val="1"/>
                <w:bCs w:val="1"/>
                <w:color w:val="auto"/>
              </w:rPr>
              <w:t>Years ending April 30,</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Arial" w:cs="Arial" w:eastAsia="Arial" w:hAnsi="Arial"/>
                <w:sz w:val="15"/>
                <w:szCs w:val="15"/>
                <w:b w:val="1"/>
                <w:bCs w:val="1"/>
                <w:color w:val="auto"/>
              </w:rPr>
              <w:t>Operating Leases</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rPr>
              <w:t>2015</w:t>
            </w:r>
          </w:p>
        </w:tc>
        <w:tc>
          <w:tcPr>
            <w:tcW w:w="232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1,503</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jc w:val="right"/>
              <w:ind w:right="664"/>
              <w:spacing w:after="0"/>
              <w:rPr>
                <w:sz w:val="20"/>
                <w:szCs w:val="20"/>
                <w:color w:val="auto"/>
              </w:rPr>
            </w:pPr>
            <w:r>
              <w:rPr>
                <w:rFonts w:ascii="Arial" w:cs="Arial" w:eastAsia="Arial" w:hAnsi="Arial"/>
                <w:sz w:val="15"/>
                <w:szCs w:val="15"/>
                <w:color w:val="auto"/>
              </w:rPr>
              <w:t>2016</w:t>
            </w:r>
          </w:p>
        </w:tc>
        <w:tc>
          <w:tcPr>
            <w:tcW w:w="2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1,473</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shd w:val="clear" w:color="auto" w:fill="CCEEFF"/>
          </w:tcPr>
          <w:p>
            <w:pPr>
              <w:jc w:val="right"/>
              <w:ind w:right="664"/>
              <w:spacing w:after="0"/>
              <w:rPr>
                <w:sz w:val="20"/>
                <w:szCs w:val="20"/>
                <w:color w:val="auto"/>
              </w:rPr>
            </w:pPr>
            <w:r>
              <w:rPr>
                <w:rFonts w:ascii="Arial" w:cs="Arial" w:eastAsia="Arial" w:hAnsi="Arial"/>
                <w:sz w:val="15"/>
                <w:szCs w:val="15"/>
                <w:color w:val="auto"/>
              </w:rPr>
              <w:t>2017</w:t>
            </w:r>
          </w:p>
        </w:tc>
        <w:tc>
          <w:tcPr>
            <w:tcW w:w="23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1,174</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jc w:val="right"/>
              <w:ind w:right="664"/>
              <w:spacing w:after="0"/>
              <w:rPr>
                <w:sz w:val="20"/>
                <w:szCs w:val="20"/>
                <w:color w:val="auto"/>
              </w:rPr>
            </w:pPr>
            <w:r>
              <w:rPr>
                <w:rFonts w:ascii="Arial" w:cs="Arial" w:eastAsia="Arial" w:hAnsi="Arial"/>
                <w:sz w:val="15"/>
                <w:szCs w:val="15"/>
                <w:color w:val="auto"/>
              </w:rPr>
              <w:t>2018</w:t>
            </w:r>
          </w:p>
        </w:tc>
        <w:tc>
          <w:tcPr>
            <w:tcW w:w="2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5"/>
                <w:szCs w:val="15"/>
                <w:color w:val="auto"/>
              </w:rPr>
              <w:t>925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Borders>
              <w:bottom w:val="single" w:sz="8" w:color="CCEEFF"/>
            </w:tcBorders>
            <w:shd w:val="clear" w:color="auto" w:fill="CCEEFF"/>
          </w:tcPr>
          <w:p>
            <w:pPr>
              <w:jc w:val="right"/>
              <w:ind w:right="664"/>
              <w:spacing w:after="0"/>
              <w:rPr>
                <w:sz w:val="20"/>
                <w:szCs w:val="20"/>
                <w:color w:val="auto"/>
              </w:rPr>
            </w:pPr>
            <w:r>
              <w:rPr>
                <w:rFonts w:ascii="Arial" w:cs="Arial" w:eastAsia="Arial" w:hAnsi="Arial"/>
                <w:sz w:val="15"/>
                <w:szCs w:val="15"/>
                <w:color w:val="auto"/>
              </w:rPr>
              <w:t>2019</w:t>
            </w:r>
          </w:p>
        </w:tc>
        <w:tc>
          <w:tcPr>
            <w:tcW w:w="232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600</w:t>
            </w:r>
          </w:p>
        </w:tc>
        <w:tc>
          <w:tcPr>
            <w:tcW w:w="1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40" w:type="dxa"/>
            <w:vAlign w:val="bottom"/>
            <w:gridSpan w:val="2"/>
          </w:tcPr>
          <w:p>
            <w:pPr>
              <w:spacing w:after="0"/>
              <w:rPr>
                <w:sz w:val="20"/>
                <w:szCs w:val="20"/>
                <w:color w:val="auto"/>
              </w:rPr>
            </w:pPr>
            <w:r>
              <w:rPr>
                <w:rFonts w:ascii="Arial" w:cs="Arial" w:eastAsia="Arial" w:hAnsi="Arial"/>
                <w:sz w:val="15"/>
                <w:szCs w:val="15"/>
                <w:color w:val="auto"/>
              </w:rPr>
              <w:t>Total future minimum lease payments</w:t>
            </w:r>
          </w:p>
        </w:tc>
        <w:tc>
          <w:tcPr>
            <w:tcW w:w="54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1300" w:type="dxa"/>
            <w:vAlign w:val="bottom"/>
          </w:tcPr>
          <w:p>
            <w:pPr>
              <w:jc w:val="right"/>
              <w:spacing w:after="0"/>
              <w:rPr>
                <w:sz w:val="20"/>
                <w:szCs w:val="20"/>
                <w:color w:val="auto"/>
              </w:rPr>
            </w:pPr>
            <w:r>
              <w:rPr>
                <w:rFonts w:ascii="Arial" w:cs="Arial" w:eastAsia="Arial" w:hAnsi="Arial"/>
                <w:sz w:val="15"/>
                <w:szCs w:val="15"/>
                <w:color w:val="auto"/>
              </w:rPr>
              <w:t>5,675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jc w:val="right"/>
              <w:ind w:right="195"/>
              <w:spacing w:after="0"/>
              <w:rPr>
                <w:sz w:val="20"/>
                <w:szCs w:val="20"/>
                <w:color w:val="auto"/>
              </w:rPr>
            </w:pPr>
            <w:r>
              <w:rPr>
                <w:rFonts w:ascii="Arial" w:cs="Arial" w:eastAsia="Arial" w:hAnsi="Arial"/>
                <w:sz w:val="13"/>
                <w:szCs w:val="13"/>
                <w:color w:val="auto"/>
                <w:w w:val="73"/>
              </w:rPr>
              <w:t>6.</w:t>
            </w:r>
          </w:p>
        </w:tc>
        <w:tc>
          <w:tcPr>
            <w:tcW w:w="1340" w:type="dxa"/>
            <w:vAlign w:val="bottom"/>
            <w:vMerge w:val="restart"/>
          </w:tcPr>
          <w:p>
            <w:pPr>
              <w:spacing w:after="0"/>
              <w:rPr>
                <w:sz w:val="20"/>
                <w:szCs w:val="20"/>
                <w:color w:val="auto"/>
              </w:rPr>
            </w:pPr>
            <w:r>
              <w:rPr>
                <w:rFonts w:ascii="Arial" w:cs="Arial" w:eastAsia="Arial" w:hAnsi="Arial"/>
                <w:sz w:val="15"/>
                <w:szCs w:val="15"/>
                <w:color w:val="auto"/>
                <w:w w:val="91"/>
              </w:rPr>
              <w:t>Marketable Securities</w:t>
            </w:r>
          </w:p>
        </w:tc>
        <w:tc>
          <w:tcPr>
            <w:tcW w:w="4920" w:type="dxa"/>
            <w:vAlign w:val="bottom"/>
            <w:gridSpan w:val="4"/>
            <w:vMerge w:val="restart"/>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60" w:type="dxa"/>
            <w:vAlign w:val="bottom"/>
            <w:vMerge w:val="continue"/>
          </w:tcPr>
          <w:p>
            <w:pPr>
              <w:spacing w:after="0"/>
              <w:rPr>
                <w:sz w:val="24"/>
                <w:szCs w:val="24"/>
                <w:color w:val="auto"/>
              </w:rPr>
            </w:pPr>
          </w:p>
        </w:tc>
        <w:tc>
          <w:tcPr>
            <w:tcW w:w="1340" w:type="dxa"/>
            <w:vAlign w:val="bottom"/>
            <w:tcBorders>
              <w:bottom w:val="single" w:sz="8" w:color="auto"/>
            </w:tcBorders>
            <w:vMerge w:val="continue"/>
          </w:tcPr>
          <w:p>
            <w:pPr>
              <w:spacing w:after="0"/>
              <w:rPr>
                <w:sz w:val="24"/>
                <w:szCs w:val="24"/>
                <w:color w:val="auto"/>
              </w:rPr>
            </w:pPr>
          </w:p>
        </w:tc>
        <w:tc>
          <w:tcPr>
            <w:tcW w:w="4920" w:type="dxa"/>
            <w:vAlign w:val="bottom"/>
            <w:gridSpan w:val="4"/>
            <w:vMerge w:val="continue"/>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The cost, gross unrealized gains, gross unrealized losses and fair market value of available-for-sale securities at April 30, 2014 and 2013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5"/>
                <w:szCs w:val="15"/>
                <w:b w:val="1"/>
                <w:bCs w:val="1"/>
                <w:color w:val="auto"/>
              </w:rPr>
              <w:t>April 30, 2014</w:t>
            </w:r>
          </w:p>
        </w:tc>
        <w:tc>
          <w:tcPr>
            <w:tcW w:w="11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7"/>
        </w:trPr>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7" w:lineRule="exact"/>
              <w:rPr>
                <w:sz w:val="20"/>
                <w:szCs w:val="20"/>
                <w:color w:val="auto"/>
              </w:rPr>
            </w:pPr>
            <w:r>
              <w:rPr>
                <w:rFonts w:ascii="Arial" w:cs="Arial" w:eastAsia="Arial" w:hAnsi="Arial"/>
                <w:sz w:val="15"/>
                <w:szCs w:val="15"/>
                <w:b w:val="1"/>
                <w:bCs w:val="1"/>
                <w:color w:val="auto"/>
                <w:w w:val="87"/>
              </w:rPr>
              <w:t>Gross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line="167" w:lineRule="exact"/>
              <w:rPr>
                <w:sz w:val="20"/>
                <w:szCs w:val="20"/>
                <w:color w:val="auto"/>
              </w:rPr>
            </w:pPr>
            <w:r>
              <w:rPr>
                <w:rFonts w:ascii="Arial" w:cs="Arial" w:eastAsia="Arial" w:hAnsi="Arial"/>
                <w:sz w:val="15"/>
                <w:szCs w:val="15"/>
                <w:b w:val="1"/>
                <w:bCs w:val="1"/>
                <w:color w:val="auto"/>
                <w:w w:val="87"/>
              </w:rPr>
              <w:t>Gross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84"/>
              <w:spacing w:after="0" w:line="167"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r>
      <w:tr>
        <w:trPr>
          <w:trHeight w:val="182"/>
        </w:trPr>
        <w:tc>
          <w:tcPr>
            <w:tcW w:w="3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Unrealized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Market</w:t>
            </w:r>
          </w:p>
        </w:tc>
      </w:tr>
      <w:tr>
        <w:trPr>
          <w:trHeight w:val="199"/>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Cost</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1"/>
              </w:rPr>
              <w:t>Losses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17"/>
                <w:szCs w:val="17"/>
                <w:color w:val="auto"/>
              </w:rPr>
            </w:pPr>
          </w:p>
        </w:tc>
      </w:tr>
      <w:tr>
        <w:trPr>
          <w:trHeight w:val="182"/>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278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8,927</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116</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(36)</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9,007</w:t>
            </w:r>
          </w:p>
        </w:tc>
        <w:tc>
          <w:tcPr>
            <w:tcW w:w="120" w:type="dxa"/>
            <w:vAlign w:val="bottom"/>
            <w:shd w:val="clear" w:color="auto" w:fill="CCEEFF"/>
          </w:tcPr>
          <w:p>
            <w:pPr>
              <w:spacing w:after="0"/>
              <w:rPr>
                <w:sz w:val="15"/>
                <w:szCs w:val="15"/>
                <w:color w:val="auto"/>
              </w:rPr>
            </w:pPr>
          </w:p>
        </w:tc>
      </w:tr>
      <w:tr>
        <w:trPr>
          <w:trHeight w:val="182"/>
        </w:trPr>
        <w:tc>
          <w:tcPr>
            <w:tcW w:w="3280" w:type="dxa"/>
            <w:vAlign w:val="bottom"/>
          </w:tcPr>
          <w:p>
            <w:pPr>
              <w:spacing w:after="0"/>
              <w:rPr>
                <w:sz w:val="20"/>
                <w:szCs w:val="20"/>
                <w:color w:val="auto"/>
              </w:rPr>
            </w:pPr>
            <w:r>
              <w:rPr>
                <w:rFonts w:ascii="Arial" w:cs="Arial" w:eastAsia="Arial" w:hAnsi="Arial"/>
                <w:sz w:val="15"/>
                <w:szCs w:val="15"/>
                <w:color w:val="auto"/>
              </w:rPr>
              <w:t>Equity securities</w:t>
            </w: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6,267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909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(153)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7,023</w:t>
            </w:r>
          </w:p>
        </w:tc>
        <w:tc>
          <w:tcPr>
            <w:tcW w:w="120" w:type="dxa"/>
            <w:vAlign w:val="bottom"/>
          </w:tcPr>
          <w:p>
            <w:pPr>
              <w:spacing w:after="0"/>
              <w:rPr>
                <w:sz w:val="15"/>
                <w:szCs w:val="15"/>
                <w:color w:val="auto"/>
              </w:rPr>
            </w:pPr>
          </w:p>
        </w:tc>
      </w:tr>
      <w:tr>
        <w:trPr>
          <w:trHeight w:val="23"/>
        </w:trPr>
        <w:tc>
          <w:tcPr>
            <w:tcW w:w="3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3280" w:type="dxa"/>
            <w:vAlign w:val="bottom"/>
            <w:shd w:val="clear" w:color="auto" w:fill="CCEEFF"/>
          </w:tcPr>
          <w:p>
            <w:pPr>
              <w:spacing w:after="0"/>
              <w:rPr>
                <w:sz w:val="17"/>
                <w:szCs w:val="17"/>
                <w:color w:val="auto"/>
              </w:rPr>
            </w:pPr>
          </w:p>
        </w:tc>
        <w:tc>
          <w:tcPr>
            <w:tcW w:w="278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15,194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(189)</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16,030</w:t>
            </w:r>
          </w:p>
        </w:tc>
      </w:tr>
      <w:tr>
        <w:trPr>
          <w:trHeight w:val="20"/>
        </w:trPr>
        <w:tc>
          <w:tcPr>
            <w:tcW w:w="328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r>
        <w:trPr>
          <w:trHeight w:val="374"/>
        </w:trPr>
        <w:tc>
          <w:tcPr>
            <w:tcW w:w="32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5"/>
                <w:szCs w:val="15"/>
                <w:b w:val="1"/>
                <w:bCs w:val="1"/>
                <w:color w:val="auto"/>
              </w:rPr>
              <w:t>April 30, 2013</w:t>
            </w:r>
          </w:p>
        </w:tc>
        <w:tc>
          <w:tcPr>
            <w:tcW w:w="1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67"/>
        </w:trPr>
        <w:tc>
          <w:tcPr>
            <w:tcW w:w="328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00"/>
              <w:spacing w:after="0" w:line="167" w:lineRule="exact"/>
              <w:rPr>
                <w:sz w:val="20"/>
                <w:szCs w:val="20"/>
                <w:color w:val="auto"/>
              </w:rPr>
            </w:pPr>
            <w:r>
              <w:rPr>
                <w:rFonts w:ascii="Arial" w:cs="Arial" w:eastAsia="Arial" w:hAnsi="Arial"/>
                <w:sz w:val="15"/>
                <w:szCs w:val="15"/>
                <w:b w:val="1"/>
                <w:bCs w:val="1"/>
                <w:color w:val="auto"/>
                <w:w w:val="87"/>
              </w:rPr>
              <w:t>Gross</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center"/>
              <w:ind w:right="380"/>
              <w:spacing w:after="0" w:line="167" w:lineRule="exact"/>
              <w:rPr>
                <w:sz w:val="20"/>
                <w:szCs w:val="20"/>
                <w:color w:val="auto"/>
              </w:rPr>
            </w:pPr>
            <w:r>
              <w:rPr>
                <w:rFonts w:ascii="Arial" w:cs="Arial" w:eastAsia="Arial" w:hAnsi="Arial"/>
                <w:sz w:val="15"/>
                <w:szCs w:val="15"/>
                <w:b w:val="1"/>
                <w:bCs w:val="1"/>
                <w:color w:val="auto"/>
                <w:w w:val="87"/>
              </w:rPr>
              <w:t>Gross</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center"/>
              <w:ind w:right="184"/>
              <w:spacing w:after="0" w:line="167"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r>
      <w:tr>
        <w:trPr>
          <w:trHeight w:val="182"/>
        </w:trPr>
        <w:tc>
          <w:tcPr>
            <w:tcW w:w="32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5"/>
                <w:szCs w:val="15"/>
                <w:b w:val="1"/>
                <w:bCs w:val="1"/>
                <w:color w:val="auto"/>
                <w:w w:val="92"/>
              </w:rPr>
              <w:t>Unrealized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2"/>
              </w:rPr>
              <w:t>Unrealized</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99"/>
              </w:rPr>
              <w:t>Market</w:t>
            </w:r>
          </w:p>
        </w:tc>
      </w:tr>
      <w:tr>
        <w:trPr>
          <w:trHeight w:val="199"/>
        </w:trPr>
        <w:tc>
          <w:tcPr>
            <w:tcW w:w="32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Cost</w:t>
            </w:r>
          </w:p>
        </w:tc>
        <w:tc>
          <w:tcPr>
            <w:tcW w:w="4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4"/>
              <w:spacing w:after="0"/>
              <w:rPr>
                <w:sz w:val="20"/>
                <w:szCs w:val="20"/>
                <w:color w:val="auto"/>
              </w:rPr>
            </w:pPr>
            <w:r>
              <w:rPr>
                <w:rFonts w:ascii="Arial" w:cs="Arial" w:eastAsia="Arial" w:hAnsi="Arial"/>
                <w:sz w:val="15"/>
                <w:szCs w:val="15"/>
                <w:b w:val="1"/>
                <w:bCs w:val="1"/>
                <w:color w:val="auto"/>
                <w:w w:val="91"/>
              </w:rPr>
              <w:t>Gains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164"/>
              <w:spacing w:after="0"/>
              <w:rPr>
                <w:sz w:val="20"/>
                <w:szCs w:val="20"/>
                <w:color w:val="auto"/>
              </w:rPr>
            </w:pPr>
            <w:r>
              <w:rPr>
                <w:rFonts w:ascii="Arial" w:cs="Arial" w:eastAsia="Arial" w:hAnsi="Arial"/>
                <w:sz w:val="15"/>
                <w:szCs w:val="15"/>
                <w:b w:val="1"/>
                <w:bCs w:val="1"/>
                <w:color w:val="auto"/>
                <w:w w:val="81"/>
              </w:rPr>
              <w:t>Losses</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84"/>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17"/>
                <w:szCs w:val="17"/>
                <w:color w:val="auto"/>
              </w:rPr>
            </w:pPr>
          </w:p>
        </w:tc>
      </w:tr>
      <w:tr>
        <w:trPr>
          <w:trHeight w:val="182"/>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278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10,285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297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10,582</w:t>
            </w:r>
          </w:p>
        </w:tc>
      </w:tr>
      <w:tr>
        <w:trPr>
          <w:trHeight w:val="182"/>
        </w:trPr>
        <w:tc>
          <w:tcPr>
            <w:tcW w:w="3280" w:type="dxa"/>
            <w:vAlign w:val="bottom"/>
          </w:tcPr>
          <w:p>
            <w:pPr>
              <w:spacing w:after="0"/>
              <w:rPr>
                <w:sz w:val="20"/>
                <w:szCs w:val="20"/>
                <w:color w:val="auto"/>
              </w:rPr>
            </w:pPr>
            <w:r>
              <w:rPr>
                <w:rFonts w:ascii="Arial" w:cs="Arial" w:eastAsia="Arial" w:hAnsi="Arial"/>
                <w:sz w:val="15"/>
                <w:szCs w:val="15"/>
                <w:color w:val="auto"/>
              </w:rPr>
              <w:t>Equity securities</w:t>
            </w:r>
          </w:p>
        </w:tc>
        <w:tc>
          <w:tcPr>
            <w:tcW w:w="1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6,490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5"/>
                <w:szCs w:val="15"/>
                <w:color w:val="auto"/>
              </w:rPr>
              <w:t>1,266</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5"/>
                <w:szCs w:val="15"/>
                <w:color w:val="auto"/>
              </w:rPr>
              <w:t>(68)</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7,688</w:t>
            </w:r>
          </w:p>
        </w:tc>
        <w:tc>
          <w:tcPr>
            <w:tcW w:w="120" w:type="dxa"/>
            <w:vAlign w:val="bottom"/>
          </w:tcPr>
          <w:p>
            <w:pPr>
              <w:spacing w:after="0"/>
              <w:rPr>
                <w:sz w:val="15"/>
                <w:szCs w:val="15"/>
                <w:color w:val="auto"/>
              </w:rPr>
            </w:pPr>
          </w:p>
        </w:tc>
      </w:tr>
      <w:tr>
        <w:trPr>
          <w:trHeight w:val="23"/>
        </w:trPr>
        <w:tc>
          <w:tcPr>
            <w:tcW w:w="32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328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jc w:val="right"/>
              <w:ind w:right="764"/>
              <w:spacing w:after="0"/>
              <w:rPr>
                <w:sz w:val="20"/>
                <w:szCs w:val="20"/>
                <w:color w:val="auto"/>
              </w:rPr>
            </w:pPr>
            <w:r>
              <w:rPr>
                <w:rFonts w:ascii="Arial" w:cs="Arial" w:eastAsia="Arial" w:hAnsi="Arial"/>
                <w:sz w:val="15"/>
                <w:szCs w:val="15"/>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16,775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1,563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(68)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18,270</w:t>
            </w:r>
          </w:p>
        </w:tc>
      </w:tr>
      <w:tr>
        <w:trPr>
          <w:trHeight w:val="494"/>
        </w:trPr>
        <w:tc>
          <w:tcPr>
            <w:tcW w:w="328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900" w:type="dxa"/>
            <w:vAlign w:val="bottom"/>
            <w:tcBorders>
              <w:top w:val="single" w:sz="8" w:color="auto"/>
            </w:tcBorders>
          </w:tcPr>
          <w:p>
            <w:pPr>
              <w:jc w:val="right"/>
              <w:ind w:right="204"/>
              <w:spacing w:after="0"/>
              <w:rPr>
                <w:sz w:val="20"/>
                <w:szCs w:val="20"/>
                <w:color w:val="auto"/>
              </w:rPr>
            </w:pPr>
            <w:r>
              <w:rPr>
                <w:rFonts w:ascii="Arial" w:cs="Arial" w:eastAsia="Arial" w:hAnsi="Arial"/>
                <w:sz w:val="15"/>
                <w:szCs w:val="15"/>
                <w:color w:val="auto"/>
              </w:rPr>
              <w:t>35</w:t>
            </w: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99"/>
        </w:trPr>
        <w:tc>
          <w:tcPr>
            <w:tcW w:w="328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5" w:name="page36"/>
    <w:bookmarkEnd w:id="35"/>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following table presents the fair value and unrealized losses, aggregated by investment type and length of time that individual securities have been in a continuous unrealized loss position:</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780" w:type="dxa"/>
            <w:vAlign w:val="bottom"/>
            <w:tcBorders>
              <w:bottom w:val="single" w:sz="8" w:color="auto"/>
            </w:tcBorders>
            <w:gridSpan w:val="4"/>
          </w:tcPr>
          <w:p>
            <w:pPr>
              <w:jc w:val="right"/>
              <w:ind w:right="544"/>
              <w:spacing w:after="0"/>
              <w:rPr>
                <w:sz w:val="20"/>
                <w:szCs w:val="20"/>
                <w:color w:val="auto"/>
              </w:rPr>
            </w:pPr>
            <w:r>
              <w:rPr>
                <w:rFonts w:ascii="Arial" w:cs="Arial" w:eastAsia="Arial" w:hAnsi="Arial"/>
                <w:sz w:val="15"/>
                <w:szCs w:val="15"/>
                <w:b w:val="1"/>
                <w:bCs w:val="1"/>
                <w:color w:val="auto"/>
              </w:rPr>
              <w:t>Less than 12 months</w:t>
            </w:r>
          </w:p>
        </w:tc>
        <w:tc>
          <w:tcPr>
            <w:tcW w:w="2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40" w:type="dxa"/>
            <w:vAlign w:val="bottom"/>
            <w:tcBorders>
              <w:bottom w:val="single" w:sz="8" w:color="auto"/>
            </w:tcBorders>
            <w:gridSpan w:val="5"/>
          </w:tcPr>
          <w:p>
            <w:pPr>
              <w:jc w:val="right"/>
              <w:ind w:right="464"/>
              <w:spacing w:after="0"/>
              <w:rPr>
                <w:sz w:val="20"/>
                <w:szCs w:val="20"/>
                <w:color w:val="auto"/>
              </w:rPr>
            </w:pPr>
            <w:r>
              <w:rPr>
                <w:rFonts w:ascii="Arial" w:cs="Arial" w:eastAsia="Arial" w:hAnsi="Arial"/>
                <w:sz w:val="15"/>
                <w:szCs w:val="15"/>
                <w:b w:val="1"/>
                <w:bCs w:val="1"/>
                <w:color w:val="auto"/>
              </w:rPr>
              <w:t>12 Months or more</w:t>
            </w:r>
          </w:p>
        </w:tc>
        <w:tc>
          <w:tcPr>
            <w:tcW w:w="30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5"/>
                <w:szCs w:val="15"/>
                <w:b w:val="1"/>
                <w:bCs w:val="1"/>
                <w:color w:val="auto"/>
              </w:rPr>
              <w:t>Total</w:t>
            </w:r>
          </w:p>
        </w:tc>
        <w:tc>
          <w:tcPr>
            <w:tcW w:w="11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167"/>
        </w:trPr>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0" w:type="dxa"/>
            <w:vAlign w:val="bottom"/>
          </w:tcPr>
          <w:p>
            <w:pPr>
              <w:jc w:val="right"/>
              <w:ind w:right="120"/>
              <w:spacing w:after="0" w:line="167" w:lineRule="exact"/>
              <w:rPr>
                <w:sz w:val="20"/>
                <w:szCs w:val="20"/>
                <w:color w:val="auto"/>
              </w:rPr>
            </w:pPr>
            <w:r>
              <w:rPr>
                <w:rFonts w:ascii="Arial" w:cs="Arial" w:eastAsia="Arial" w:hAnsi="Arial"/>
                <w:sz w:val="15"/>
                <w:szCs w:val="15"/>
                <w:b w:val="1"/>
                <w:bCs w:val="1"/>
                <w:color w:val="auto"/>
              </w:rPr>
              <w:t>Fair</w:t>
            </w: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60" w:type="dxa"/>
            <w:vAlign w:val="bottom"/>
          </w:tcPr>
          <w:p>
            <w:pPr>
              <w:jc w:val="right"/>
              <w:ind w:right="24"/>
              <w:spacing w:after="0" w:line="167" w:lineRule="exact"/>
              <w:rPr>
                <w:sz w:val="20"/>
                <w:szCs w:val="20"/>
                <w:color w:val="auto"/>
              </w:rPr>
            </w:pPr>
            <w:r>
              <w:rPr>
                <w:rFonts w:ascii="Arial" w:cs="Arial" w:eastAsia="Arial" w:hAnsi="Arial"/>
                <w:sz w:val="15"/>
                <w:szCs w:val="15"/>
                <w:b w:val="1"/>
                <w:bCs w:val="1"/>
                <w:color w:val="auto"/>
              </w:rPr>
              <w:t>Unrealized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44"/>
              <w:spacing w:after="0" w:line="167" w:lineRule="exact"/>
              <w:rPr>
                <w:sz w:val="20"/>
                <w:szCs w:val="20"/>
                <w:color w:val="auto"/>
              </w:rPr>
            </w:pPr>
            <w:r>
              <w:rPr>
                <w:rFonts w:ascii="Arial" w:cs="Arial" w:eastAsia="Arial" w:hAnsi="Arial"/>
                <w:sz w:val="15"/>
                <w:szCs w:val="15"/>
                <w:b w:val="1"/>
                <w:bCs w:val="1"/>
                <w:color w:val="auto"/>
              </w:rPr>
              <w:t>Fair</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right"/>
              <w:spacing w:after="0" w:line="167" w:lineRule="exact"/>
              <w:rPr>
                <w:sz w:val="20"/>
                <w:szCs w:val="20"/>
                <w:color w:val="auto"/>
              </w:rPr>
            </w:pPr>
            <w:r>
              <w:rPr>
                <w:rFonts w:ascii="Arial" w:cs="Arial" w:eastAsia="Arial" w:hAnsi="Arial"/>
                <w:sz w:val="15"/>
                <w:szCs w:val="15"/>
                <w:b w:val="1"/>
                <w:bCs w:val="1"/>
                <w:color w:val="auto"/>
              </w:rPr>
              <w:t>Unrealized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380"/>
              <w:spacing w:after="0" w:line="167" w:lineRule="exact"/>
              <w:rPr>
                <w:sz w:val="20"/>
                <w:szCs w:val="20"/>
                <w:color w:val="auto"/>
              </w:rPr>
            </w:pPr>
            <w:r>
              <w:rPr>
                <w:rFonts w:ascii="Arial" w:cs="Arial" w:eastAsia="Arial" w:hAnsi="Arial"/>
                <w:sz w:val="15"/>
                <w:szCs w:val="15"/>
                <w:b w:val="1"/>
                <w:bCs w:val="1"/>
                <w:color w:val="auto"/>
              </w:rPr>
              <w:t>Fair</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jc w:val="right"/>
              <w:ind w:right="244"/>
              <w:spacing w:after="0" w:line="167" w:lineRule="exact"/>
              <w:rPr>
                <w:sz w:val="20"/>
                <w:szCs w:val="20"/>
                <w:color w:val="auto"/>
              </w:rPr>
            </w:pPr>
            <w:r>
              <w:rPr>
                <w:rFonts w:ascii="Arial" w:cs="Arial" w:eastAsia="Arial" w:hAnsi="Arial"/>
                <w:sz w:val="15"/>
                <w:szCs w:val="15"/>
                <w:b w:val="1"/>
                <w:bCs w:val="1"/>
                <w:color w:val="auto"/>
              </w:rPr>
              <w:t>Unrealized</w:t>
            </w:r>
          </w:p>
        </w:tc>
        <w:tc>
          <w:tcPr>
            <w:tcW w:w="120" w:type="dxa"/>
            <w:vAlign w:val="bottom"/>
          </w:tcPr>
          <w:p>
            <w:pPr>
              <w:spacing w:after="0"/>
              <w:rPr>
                <w:sz w:val="14"/>
                <w:szCs w:val="14"/>
                <w:color w:val="auto"/>
              </w:rPr>
            </w:pPr>
          </w:p>
        </w:tc>
      </w:tr>
      <w:tr>
        <w:trPr>
          <w:trHeight w:val="199"/>
        </w:trPr>
        <w:tc>
          <w:tcPr>
            <w:tcW w:w="8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0" w:type="dxa"/>
            <w:vAlign w:val="bottom"/>
          </w:tcPr>
          <w:p>
            <w:pPr>
              <w:jc w:val="right"/>
              <w:ind w:right="80"/>
              <w:spacing w:after="0"/>
              <w:rPr>
                <w:sz w:val="20"/>
                <w:szCs w:val="20"/>
                <w:color w:val="auto"/>
              </w:rPr>
            </w:pPr>
            <w:r>
              <w:rPr>
                <w:rFonts w:ascii="Arial" w:cs="Arial" w:eastAsia="Arial" w:hAnsi="Arial"/>
                <w:sz w:val="15"/>
                <w:szCs w:val="15"/>
                <w:b w:val="1"/>
                <w:bCs w:val="1"/>
                <w:color w:val="auto"/>
              </w:rPr>
              <w:t>Value</w:t>
            </w: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jc w:val="right"/>
              <w:ind w:right="184"/>
              <w:spacing w:after="0"/>
              <w:rPr>
                <w:sz w:val="20"/>
                <w:szCs w:val="20"/>
                <w:color w:val="auto"/>
              </w:rPr>
            </w:pPr>
            <w:r>
              <w:rPr>
                <w:rFonts w:ascii="Arial" w:cs="Arial" w:eastAsia="Arial" w:hAnsi="Arial"/>
                <w:sz w:val="15"/>
                <w:szCs w:val="15"/>
                <w:b w:val="1"/>
                <w:bCs w:val="1"/>
                <w:color w:val="auto"/>
              </w:rPr>
              <w:t>Losses</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4"/>
              <w:spacing w:after="0"/>
              <w:rPr>
                <w:sz w:val="20"/>
                <w:szCs w:val="20"/>
                <w:color w:val="auto"/>
              </w:rPr>
            </w:pPr>
            <w:r>
              <w:rPr>
                <w:rFonts w:ascii="Arial" w:cs="Arial" w:eastAsia="Arial" w:hAnsi="Arial"/>
                <w:sz w:val="15"/>
                <w:szCs w:val="15"/>
                <w:b w:val="1"/>
                <w:bCs w:val="1"/>
                <w:color w:val="auto"/>
              </w:rPr>
              <w:t>Value</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84"/>
              <w:spacing w:after="0"/>
              <w:rPr>
                <w:sz w:val="20"/>
                <w:szCs w:val="20"/>
                <w:color w:val="auto"/>
              </w:rPr>
            </w:pPr>
            <w:r>
              <w:rPr>
                <w:rFonts w:ascii="Arial" w:cs="Arial" w:eastAsia="Arial" w:hAnsi="Arial"/>
                <w:sz w:val="15"/>
                <w:szCs w:val="15"/>
                <w:b w:val="1"/>
                <w:bCs w:val="1"/>
                <w:color w:val="auto"/>
              </w:rPr>
              <w:t>Losses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5"/>
                <w:szCs w:val="15"/>
                <w:b w:val="1"/>
                <w:bCs w:val="1"/>
                <w:color w:val="auto"/>
                <w:w w:val="89"/>
              </w:rPr>
              <w:t>Value</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Losses</w:t>
            </w:r>
          </w:p>
        </w:tc>
      </w:tr>
      <w:tr>
        <w:trPr>
          <w:trHeight w:val="177"/>
        </w:trPr>
        <w:tc>
          <w:tcPr>
            <w:tcW w:w="88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w w:val="92"/>
              </w:rPr>
              <w:t>April 30, 2014</w:t>
            </w:r>
          </w:p>
        </w:tc>
        <w:tc>
          <w:tcPr>
            <w:tcW w:w="1080" w:type="dxa"/>
            <w:vAlign w:val="bottom"/>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r>
      <w:tr>
        <w:trPr>
          <w:trHeight w:val="189"/>
        </w:trPr>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000" w:type="dxa"/>
            <w:vAlign w:val="bottom"/>
            <w:shd w:val="clear" w:color="auto" w:fill="CCEEFF"/>
          </w:tcPr>
          <w:p>
            <w:pPr>
              <w:jc w:val="right"/>
              <w:ind w:right="8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501</w:t>
            </w: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w:t>
            </w:r>
          </w:p>
        </w:tc>
        <w:tc>
          <w:tcPr>
            <w:tcW w:w="104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448</w:t>
            </w:r>
          </w:p>
        </w:tc>
        <w:tc>
          <w:tcPr>
            <w:tcW w:w="1160" w:type="dxa"/>
            <w:vAlign w:val="bottom"/>
            <w:gridSpan w:val="2"/>
            <w:shd w:val="clear" w:color="auto" w:fill="CCEEFF"/>
          </w:tcPr>
          <w:p>
            <w:pPr>
              <w:jc w:val="right"/>
              <w:ind w:right="90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(33)</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949</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(36)</w:t>
            </w:r>
          </w:p>
        </w:tc>
      </w:tr>
      <w:tr>
        <w:trPr>
          <w:trHeight w:val="182"/>
        </w:trPr>
        <w:tc>
          <w:tcPr>
            <w:tcW w:w="1960" w:type="dxa"/>
            <w:vAlign w:val="bottom"/>
            <w:gridSpan w:val="2"/>
          </w:tcPr>
          <w:p>
            <w:pPr>
              <w:spacing w:after="0"/>
              <w:rPr>
                <w:sz w:val="20"/>
                <w:szCs w:val="20"/>
                <w:color w:val="auto"/>
              </w:rPr>
            </w:pPr>
            <w:r>
              <w:rPr>
                <w:rFonts w:ascii="Arial" w:cs="Arial" w:eastAsia="Arial" w:hAnsi="Arial"/>
                <w:sz w:val="15"/>
                <w:szCs w:val="15"/>
                <w:color w:val="auto"/>
              </w:rPr>
              <w:t>Equity Securities</w:t>
            </w:r>
          </w:p>
        </w:tc>
        <w:tc>
          <w:tcPr>
            <w:tcW w:w="1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366</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60" w:type="dxa"/>
            <w:vAlign w:val="bottom"/>
            <w:gridSpan w:val="2"/>
          </w:tcPr>
          <w:p>
            <w:pPr>
              <w:jc w:val="right"/>
              <w:ind w:right="80"/>
              <w:spacing w:after="0"/>
              <w:rPr>
                <w:sz w:val="20"/>
                <w:szCs w:val="20"/>
                <w:color w:val="auto"/>
              </w:rPr>
            </w:pPr>
            <w:r>
              <w:rPr>
                <w:rFonts w:ascii="Arial" w:cs="Arial" w:eastAsia="Arial" w:hAnsi="Arial"/>
                <w:sz w:val="15"/>
                <w:szCs w:val="15"/>
                <w:color w:val="auto"/>
              </w:rPr>
              <w:t>(1)</w:t>
            </w: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5"/>
                <w:szCs w:val="15"/>
                <w:color w:val="auto"/>
              </w:rPr>
              <w:t>925</w:t>
            </w: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(152)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1,291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(153)</w:t>
            </w:r>
          </w:p>
        </w:tc>
      </w:tr>
      <w:tr>
        <w:trPr>
          <w:trHeight w:val="23"/>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2"/>
        </w:trPr>
        <w:tc>
          <w:tcPr>
            <w:tcW w:w="8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8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w:t>
            </w:r>
          </w:p>
        </w:tc>
        <w:tc>
          <w:tcPr>
            <w:tcW w:w="24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(4)</w:t>
            </w:r>
          </w:p>
        </w:tc>
        <w:tc>
          <w:tcPr>
            <w:tcW w:w="104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1,373</w:t>
            </w:r>
          </w:p>
        </w:tc>
        <w:tc>
          <w:tcPr>
            <w:tcW w:w="1160" w:type="dxa"/>
            <w:vAlign w:val="bottom"/>
            <w:gridSpan w:val="2"/>
            <w:shd w:val="clear" w:color="auto" w:fill="CCEEFF"/>
          </w:tcPr>
          <w:p>
            <w:pPr>
              <w:jc w:val="right"/>
              <w:ind w:right="90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w w:val="96"/>
              </w:rPr>
              <w:t>(185)</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2,240</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(189)</w:t>
            </w:r>
          </w:p>
        </w:tc>
      </w:tr>
      <w:tr>
        <w:trPr>
          <w:trHeight w:val="367"/>
        </w:trPr>
        <w:tc>
          <w:tcPr>
            <w:tcW w:w="880" w:type="dxa"/>
            <w:vAlign w:val="bottom"/>
            <w:tcBorders>
              <w:top w:val="single" w:sz="8" w:color="CCEEFF"/>
              <w:bottom w:val="single" w:sz="8" w:color="auto"/>
            </w:tcBorders>
          </w:tcPr>
          <w:p>
            <w:pPr>
              <w:spacing w:after="0"/>
              <w:rPr>
                <w:sz w:val="20"/>
                <w:szCs w:val="20"/>
                <w:color w:val="auto"/>
              </w:rPr>
            </w:pPr>
            <w:r>
              <w:rPr>
                <w:rFonts w:ascii="Arial" w:cs="Arial" w:eastAsia="Arial" w:hAnsi="Arial"/>
                <w:sz w:val="15"/>
                <w:szCs w:val="15"/>
                <w:color w:val="auto"/>
                <w:w w:val="92"/>
              </w:rPr>
              <w:t>April 30, 2013</w:t>
            </w:r>
          </w:p>
        </w:tc>
        <w:tc>
          <w:tcPr>
            <w:tcW w:w="108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r>
      <w:tr>
        <w:trPr>
          <w:trHeight w:val="189"/>
        </w:trPr>
        <w:tc>
          <w:tcPr>
            <w:tcW w:w="196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Fixed Income Securities</w:t>
            </w:r>
          </w:p>
        </w:tc>
        <w:tc>
          <w:tcPr>
            <w:tcW w:w="1000" w:type="dxa"/>
            <w:vAlign w:val="bottom"/>
            <w:shd w:val="clear" w:color="auto" w:fill="CCEEFF"/>
          </w:tcPr>
          <w:p>
            <w:pPr>
              <w:jc w:val="right"/>
              <w:ind w:right="880"/>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04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gridSpan w:val="2"/>
            <w:shd w:val="clear" w:color="auto" w:fill="CCEEFF"/>
          </w:tcPr>
          <w:p>
            <w:pPr>
              <w:jc w:val="right"/>
              <w:ind w:right="90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r>
      <w:tr>
        <w:trPr>
          <w:trHeight w:val="182"/>
        </w:trPr>
        <w:tc>
          <w:tcPr>
            <w:tcW w:w="1960" w:type="dxa"/>
            <w:vAlign w:val="bottom"/>
            <w:gridSpan w:val="2"/>
          </w:tcPr>
          <w:p>
            <w:pPr>
              <w:spacing w:after="0"/>
              <w:rPr>
                <w:sz w:val="20"/>
                <w:szCs w:val="20"/>
                <w:color w:val="auto"/>
              </w:rPr>
            </w:pPr>
            <w:r>
              <w:rPr>
                <w:rFonts w:ascii="Arial" w:cs="Arial" w:eastAsia="Arial" w:hAnsi="Arial"/>
                <w:sz w:val="15"/>
                <w:szCs w:val="15"/>
                <w:color w:val="auto"/>
              </w:rPr>
              <w:t>Equity Securities</w:t>
            </w:r>
          </w:p>
        </w:tc>
        <w:tc>
          <w:tcPr>
            <w:tcW w:w="100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5"/>
                <w:szCs w:val="15"/>
                <w:color w:val="auto"/>
              </w:rPr>
              <w:t>512</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5"/>
                <w:szCs w:val="15"/>
                <w:color w:val="auto"/>
              </w:rPr>
              <w:t>(68)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5"/>
                <w:szCs w:val="15"/>
                <w:color w:val="auto"/>
              </w:rPr>
              <w:t>512</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5"/>
                <w:szCs w:val="15"/>
                <w:color w:val="auto"/>
              </w:rPr>
              <w:t>(68)</w:t>
            </w:r>
          </w:p>
        </w:tc>
      </w:tr>
      <w:tr>
        <w:trPr>
          <w:trHeight w:val="23"/>
        </w:trPr>
        <w:tc>
          <w:tcPr>
            <w:tcW w:w="8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2"/>
        </w:trPr>
        <w:tc>
          <w:tcPr>
            <w:tcW w:w="8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880"/>
              <w:spacing w:after="0"/>
              <w:rPr>
                <w:sz w:val="20"/>
                <w:szCs w:val="20"/>
                <w:color w:val="auto"/>
              </w:rPr>
            </w:pPr>
            <w:r>
              <w:rPr>
                <w:rFonts w:ascii="Arial" w:cs="Arial" w:eastAsia="Arial" w:hAnsi="Arial"/>
                <w:sz w:val="10"/>
                <w:szCs w:val="10"/>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jc w:val="right"/>
              <w:ind w:right="1004"/>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512</w:t>
            </w:r>
          </w:p>
        </w:tc>
        <w:tc>
          <w:tcPr>
            <w:tcW w:w="1160" w:type="dxa"/>
            <w:vAlign w:val="bottom"/>
            <w:gridSpan w:val="2"/>
            <w:shd w:val="clear" w:color="auto" w:fill="CCEEFF"/>
          </w:tcPr>
          <w:p>
            <w:pPr>
              <w:jc w:val="right"/>
              <w:ind w:right="90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(68)</w:t>
            </w:r>
          </w:p>
        </w:tc>
        <w:tc>
          <w:tcPr>
            <w:tcW w:w="38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512</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(68)</w:t>
            </w:r>
          </w:p>
        </w:tc>
      </w:tr>
      <w:tr>
        <w:trPr>
          <w:trHeight w:val="20"/>
        </w:trPr>
        <w:tc>
          <w:tcPr>
            <w:tcW w:w="8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The Company regularly reviews its investment portfolio to identify and evaluate investments that have indications of possible impairment. The Company does not believe that its investments in marketable securities with unrealized losses at April 30, 2014 are other-than-temporary due to market volatility of the security’s fair value, analysts’ expectations and the Company’s ability to hold the securities for a period of time sufficient to allow for any anticipated recoveries in market value.</w:t>
      </w:r>
    </w:p>
    <w:p>
      <w:pPr>
        <w:spacing w:after="0" w:line="177"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Proceeds from the sale or redemption of available-for-sale securities and the resulting gross realized gains and losses included in the determination of net income (loss) are as follows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80" w:type="dxa"/>
            <w:vAlign w:val="bottom"/>
            <w:gridSpan w:val="5"/>
          </w:tcPr>
          <w:p>
            <w:pPr>
              <w:ind w:left="240"/>
              <w:spacing w:after="0"/>
              <w:rPr>
                <w:sz w:val="20"/>
                <w:szCs w:val="20"/>
                <w:color w:val="auto"/>
              </w:rPr>
            </w:pPr>
            <w:r>
              <w:rPr>
                <w:rFonts w:ascii="Arial" w:cs="Arial" w:eastAsia="Arial" w:hAnsi="Arial"/>
                <w:sz w:val="15"/>
                <w:szCs w:val="15"/>
                <w:b w:val="1"/>
                <w:bCs w:val="1"/>
                <w:color w:val="auto"/>
              </w:rPr>
              <w:t>For the years ended April 30,</w:t>
            </w: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44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8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5"/>
                <w:szCs w:val="15"/>
                <w:b w:val="1"/>
                <w:bCs w:val="1"/>
                <w:color w:val="auto"/>
              </w:rPr>
              <w:t>2014</w:t>
            </w:r>
          </w:p>
        </w:tc>
        <w:tc>
          <w:tcPr>
            <w:tcW w:w="200" w:type="dxa"/>
            <w:vAlign w:val="bottom"/>
            <w:tcBorders>
              <w:top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1440" w:type="dxa"/>
            <w:vAlign w:val="bottom"/>
          </w:tcPr>
          <w:p>
            <w:pPr>
              <w:spacing w:after="0"/>
              <w:rPr>
                <w:sz w:val="17"/>
                <w:szCs w:val="17"/>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Proceeds</w:t>
            </w:r>
          </w:p>
        </w:tc>
        <w:tc>
          <w:tcPr>
            <w:tcW w:w="306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4,993</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3,006</w:t>
            </w:r>
          </w:p>
        </w:tc>
        <w:tc>
          <w:tcPr>
            <w:tcW w:w="10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40" w:type="dxa"/>
            <w:vAlign w:val="bottom"/>
            <w:vMerge w:val="restart"/>
          </w:tcPr>
          <w:p>
            <w:pPr>
              <w:spacing w:after="0" w:line="20" w:lineRule="exact"/>
              <w:rPr>
                <w:sz w:val="1"/>
                <w:szCs w:val="1"/>
                <w:color w:val="auto"/>
              </w:rPr>
            </w:pPr>
          </w:p>
        </w:tc>
        <w:tc>
          <w:tcPr>
            <w:tcW w:w="2720" w:type="dxa"/>
            <w:vAlign w:val="bottom"/>
            <w:tcBorders>
              <w:top w:val="single" w:sz="8" w:color="CCEEFF"/>
            </w:tcBorders>
            <w:shd w:val="clear" w:color="auto" w:fill="CCEEFF"/>
          </w:tcPr>
          <w:p>
            <w:pPr>
              <w:spacing w:after="0" w:line="20" w:lineRule="exact"/>
              <w:rPr>
                <w:sz w:val="1"/>
                <w:szCs w:val="1"/>
                <w:color w:val="auto"/>
              </w:rPr>
            </w:pPr>
          </w:p>
        </w:tc>
        <w:tc>
          <w:tcPr>
            <w:tcW w:w="2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1440" w:type="dxa"/>
            <w:vAlign w:val="bottom"/>
            <w:vMerge w:val="continue"/>
          </w:tcPr>
          <w:p>
            <w:pPr>
              <w:spacing w:after="0"/>
              <w:rPr>
                <w:sz w:val="14"/>
                <w:szCs w:val="14"/>
                <w:color w:val="auto"/>
              </w:rPr>
            </w:pPr>
          </w:p>
        </w:tc>
        <w:tc>
          <w:tcPr>
            <w:tcW w:w="2720" w:type="dxa"/>
            <w:vAlign w:val="bottom"/>
          </w:tcPr>
          <w:p>
            <w:pPr>
              <w:spacing w:after="0" w:line="167" w:lineRule="exact"/>
              <w:rPr>
                <w:sz w:val="20"/>
                <w:szCs w:val="20"/>
                <w:color w:val="auto"/>
              </w:rPr>
            </w:pPr>
            <w:r>
              <w:rPr>
                <w:rFonts w:ascii="Arial" w:cs="Arial" w:eastAsia="Arial" w:hAnsi="Arial"/>
                <w:sz w:val="15"/>
                <w:szCs w:val="15"/>
                <w:color w:val="auto"/>
              </w:rPr>
              <w:t>Gross realized gains</w:t>
            </w:r>
          </w:p>
        </w:tc>
        <w:tc>
          <w:tcPr>
            <w:tcW w:w="3060" w:type="dxa"/>
            <w:vAlign w:val="bottom"/>
            <w:gridSpan w:val="2"/>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80" w:type="dxa"/>
            <w:vAlign w:val="bottom"/>
          </w:tcPr>
          <w:p>
            <w:pPr>
              <w:jc w:val="right"/>
              <w:spacing w:after="0" w:line="167" w:lineRule="exact"/>
              <w:rPr>
                <w:sz w:val="20"/>
                <w:szCs w:val="20"/>
                <w:color w:val="auto"/>
              </w:rPr>
            </w:pPr>
            <w:r>
              <w:rPr>
                <w:rFonts w:ascii="Arial" w:cs="Arial" w:eastAsia="Arial" w:hAnsi="Arial"/>
                <w:sz w:val="15"/>
                <w:szCs w:val="15"/>
                <w:color w:val="auto"/>
              </w:rPr>
              <w:t>367</w:t>
            </w:r>
          </w:p>
        </w:tc>
        <w:tc>
          <w:tcPr>
            <w:tcW w:w="500" w:type="dxa"/>
            <w:vAlign w:val="bottom"/>
            <w:gridSpan w:val="2"/>
          </w:tcPr>
          <w:p>
            <w:pPr>
              <w:jc w:val="right"/>
              <w:ind w:right="240"/>
              <w:spacing w:after="0" w:line="167" w:lineRule="exact"/>
              <w:rPr>
                <w:sz w:val="20"/>
                <w:szCs w:val="20"/>
                <w:color w:val="auto"/>
              </w:rPr>
            </w:pPr>
            <w:r>
              <w:rPr>
                <w:rFonts w:ascii="Arial" w:cs="Arial" w:eastAsia="Arial" w:hAnsi="Arial"/>
                <w:sz w:val="15"/>
                <w:szCs w:val="15"/>
                <w:color w:val="auto"/>
              </w:rPr>
              <w:t>$</w:t>
            </w:r>
          </w:p>
        </w:tc>
        <w:tc>
          <w:tcPr>
            <w:tcW w:w="1100" w:type="dxa"/>
            <w:vAlign w:val="bottom"/>
          </w:tcPr>
          <w:p>
            <w:pPr>
              <w:jc w:val="right"/>
              <w:spacing w:after="0" w:line="167" w:lineRule="exact"/>
              <w:rPr>
                <w:sz w:val="20"/>
                <w:szCs w:val="20"/>
                <w:color w:val="auto"/>
              </w:rPr>
            </w:pPr>
            <w:r>
              <w:rPr>
                <w:rFonts w:ascii="Arial" w:cs="Arial" w:eastAsia="Arial" w:hAnsi="Arial"/>
                <w:sz w:val="15"/>
                <w:szCs w:val="15"/>
                <w:color w:val="auto"/>
              </w:rPr>
              <w:t>47</w:t>
            </w: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1440" w:type="dxa"/>
            <w:vAlign w:val="bottom"/>
          </w:tcPr>
          <w:p>
            <w:pPr>
              <w:spacing w:after="0"/>
              <w:rPr>
                <w:sz w:val="17"/>
                <w:szCs w:val="17"/>
                <w:color w:val="auto"/>
              </w:rPr>
            </w:pPr>
          </w:p>
        </w:tc>
        <w:tc>
          <w:tcPr>
            <w:tcW w:w="272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Gross realized losses</w:t>
            </w:r>
          </w:p>
        </w:tc>
        <w:tc>
          <w:tcPr>
            <w:tcW w:w="3060" w:type="dxa"/>
            <w:vAlign w:val="bottom"/>
            <w:gridSpan w:val="2"/>
            <w:shd w:val="clear" w:color="auto" w:fill="CCEEFF"/>
          </w:tcPr>
          <w:p>
            <w:pPr>
              <w:jc w:val="right"/>
              <w:ind w:right="220"/>
              <w:spacing w:after="0" w:line="167" w:lineRule="exact"/>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500" w:type="dxa"/>
            <w:vAlign w:val="bottom"/>
            <w:gridSpan w:val="2"/>
            <w:shd w:val="clear" w:color="auto" w:fill="CCEEFF"/>
          </w:tcPr>
          <w:p>
            <w:pPr>
              <w:jc w:val="right"/>
              <w:ind w:right="240"/>
              <w:spacing w:after="0" w:line="167" w:lineRule="exact"/>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line="167" w:lineRule="exact"/>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4"/>
        </w:trPr>
        <w:tc>
          <w:tcPr>
            <w:tcW w:w="1440" w:type="dxa"/>
            <w:vAlign w:val="bottom"/>
          </w:tcPr>
          <w:p>
            <w:pPr>
              <w:spacing w:after="0"/>
              <w:rPr>
                <w:sz w:val="24"/>
                <w:szCs w:val="24"/>
                <w:color w:val="auto"/>
              </w:rPr>
            </w:pPr>
          </w:p>
        </w:tc>
        <w:tc>
          <w:tcPr>
            <w:tcW w:w="2720" w:type="dxa"/>
            <w:vAlign w:val="bottom"/>
            <w:tcBorders>
              <w:top w:val="single" w:sz="8" w:color="CCEEFF"/>
            </w:tcBorders>
          </w:tcPr>
          <w:p>
            <w:pPr>
              <w:spacing w:after="0"/>
              <w:rPr>
                <w:sz w:val="24"/>
                <w:szCs w:val="24"/>
                <w:color w:val="auto"/>
              </w:rPr>
            </w:pPr>
          </w:p>
        </w:tc>
        <w:tc>
          <w:tcPr>
            <w:tcW w:w="2760" w:type="dxa"/>
            <w:vAlign w:val="bottom"/>
            <w:tcBorders>
              <w:top w:val="single" w:sz="8" w:color="CCEEFF"/>
            </w:tcBorders>
          </w:tcPr>
          <w:p>
            <w:pPr>
              <w:jc w:val="right"/>
              <w:ind w:right="1064"/>
              <w:spacing w:after="0"/>
              <w:rPr>
                <w:sz w:val="20"/>
                <w:szCs w:val="20"/>
                <w:color w:val="auto"/>
              </w:rPr>
            </w:pPr>
            <w:r>
              <w:rPr>
                <w:rFonts w:ascii="Arial" w:cs="Arial" w:eastAsia="Arial" w:hAnsi="Arial"/>
                <w:sz w:val="15"/>
                <w:szCs w:val="15"/>
                <w:color w:val="auto"/>
              </w:rPr>
              <w:t>36</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1440" w:type="dxa"/>
            <w:vAlign w:val="bottom"/>
            <w:tcBorders>
              <w:bottom w:val="single" w:sz="8" w:color="808080"/>
            </w:tcBorders>
          </w:tcPr>
          <w:p>
            <w:pPr>
              <w:spacing w:after="0"/>
              <w:rPr>
                <w:sz w:val="8"/>
                <w:szCs w:val="8"/>
                <w:color w:val="auto"/>
              </w:rPr>
            </w:pPr>
          </w:p>
        </w:tc>
        <w:tc>
          <w:tcPr>
            <w:tcW w:w="2720" w:type="dxa"/>
            <w:vAlign w:val="bottom"/>
            <w:tcBorders>
              <w:bottom w:val="single" w:sz="8" w:color="808080"/>
            </w:tcBorders>
          </w:tcPr>
          <w:p>
            <w:pPr>
              <w:spacing w:after="0"/>
              <w:rPr>
                <w:sz w:val="8"/>
                <w:szCs w:val="8"/>
                <w:color w:val="auto"/>
              </w:rPr>
            </w:pPr>
          </w:p>
        </w:tc>
        <w:tc>
          <w:tcPr>
            <w:tcW w:w="276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0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6" w:name="page37"/>
    <w:bookmarkEnd w:id="36"/>
    <w:tbl>
      <w:tblPr>
        <w:tblLayout w:type="fixed"/>
        <w:tblInd w:w="9" w:type="dxa"/>
        <w:tblCellMar>
          <w:top w:w="0" w:type="dxa"/>
          <w:left w:w="0" w:type="dxa"/>
          <w:bottom w:w="0" w:type="dxa"/>
          <w:right w:w="0" w:type="dxa"/>
        </w:tblCellMar>
      </w:tblPr>
      <w:tr>
        <w:trPr>
          <w:trHeight w:val="138"/>
        </w:trPr>
        <w:tc>
          <w:tcPr>
            <w:tcW w:w="8180" w:type="dxa"/>
            <w:vAlign w:val="bottom"/>
            <w:gridSpan w:val="4"/>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6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740" w:type="dxa"/>
            <w:vAlign w:val="bottom"/>
            <w:gridSpan w:val="2"/>
          </w:tcPr>
          <w:p>
            <w:pPr>
              <w:jc w:val="center"/>
              <w:ind w:left="1744"/>
              <w:spacing w:after="0"/>
              <w:rPr>
                <w:sz w:val="20"/>
                <w:szCs w:val="20"/>
                <w:color w:val="auto"/>
              </w:rPr>
            </w:pPr>
            <w:r>
              <w:rPr>
                <w:rFonts w:ascii="Arial" w:cs="Arial" w:eastAsia="Arial" w:hAnsi="Arial"/>
                <w:sz w:val="15"/>
                <w:szCs w:val="15"/>
                <w:b w:val="1"/>
                <w:bCs w:val="1"/>
                <w:color w:val="auto"/>
              </w:rPr>
              <w:t>FREQUENCY ELECTRONICS, INC. AND SUBSIDIARIES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740" w:type="dxa"/>
            <w:vAlign w:val="bottom"/>
            <w:gridSpan w:val="2"/>
          </w:tcPr>
          <w:p>
            <w:pPr>
              <w:jc w:val="center"/>
              <w:ind w:left="1724"/>
              <w:spacing w:after="0"/>
              <w:rPr>
                <w:sz w:val="20"/>
                <w:szCs w:val="20"/>
                <w:color w:val="auto"/>
              </w:rPr>
            </w:pPr>
            <w:r>
              <w:rPr>
                <w:rFonts w:ascii="Arial" w:cs="Arial" w:eastAsia="Arial" w:hAnsi="Arial"/>
                <w:sz w:val="15"/>
                <w:szCs w:val="15"/>
                <w:color w:val="auto"/>
                <w:w w:val="97"/>
              </w:rPr>
              <w:t>NOTES TO CONSOLIDATED FINANCIAL STATEMENTS - Continued</w:t>
            </w:r>
          </w:p>
        </w:tc>
        <w:tc>
          <w:tcPr>
            <w:tcW w:w="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8180" w:type="dxa"/>
            <w:vAlign w:val="bottom"/>
            <w:gridSpan w:val="4"/>
          </w:tcPr>
          <w:p>
            <w:pPr>
              <w:ind w:left="400"/>
              <w:spacing w:after="0"/>
              <w:rPr>
                <w:sz w:val="20"/>
                <w:szCs w:val="20"/>
                <w:color w:val="auto"/>
              </w:rPr>
            </w:pPr>
            <w:r>
              <w:rPr>
                <w:rFonts w:ascii="Arial" w:cs="Arial" w:eastAsia="Arial" w:hAnsi="Arial"/>
                <w:sz w:val="15"/>
                <w:szCs w:val="15"/>
                <w:color w:val="auto"/>
                <w:w w:val="96"/>
              </w:rPr>
              <w:t>Maturities of fixed income securities classified as available-for-sale at April 30, 2014 are as follows (at cost, in thousands):</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840" w:type="dxa"/>
            <w:vAlign w:val="bottom"/>
            <w:vMerge w:val="restart"/>
          </w:tcPr>
          <w:p>
            <w:pPr>
              <w:spacing w:after="0"/>
              <w:rPr>
                <w:sz w:val="17"/>
                <w:szCs w:val="17"/>
                <w:color w:val="auto"/>
              </w:rPr>
            </w:pPr>
          </w:p>
        </w:tc>
        <w:tc>
          <w:tcPr>
            <w:tcW w:w="60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8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Current</w:t>
            </w:r>
          </w:p>
        </w:tc>
        <w:tc>
          <w:tcPr>
            <w:tcW w:w="620" w:type="dxa"/>
            <w:vAlign w:val="bottom"/>
            <w:shd w:val="clear" w:color="auto" w:fill="CCEEFF"/>
          </w:tcPr>
          <w:p>
            <w:pPr>
              <w:jc w:val="right"/>
              <w:ind w:right="304"/>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w:t>
            </w:r>
          </w:p>
        </w:tc>
        <w:tc>
          <w:tcPr>
            <w:tcW w:w="4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740" w:type="dxa"/>
            <w:vAlign w:val="bottom"/>
            <w:gridSpan w:val="2"/>
          </w:tcPr>
          <w:p>
            <w:pPr>
              <w:spacing w:after="0"/>
              <w:rPr>
                <w:sz w:val="20"/>
                <w:szCs w:val="20"/>
                <w:color w:val="auto"/>
              </w:rPr>
            </w:pPr>
            <w:r>
              <w:rPr>
                <w:rFonts w:ascii="Arial" w:cs="Arial" w:eastAsia="Arial" w:hAnsi="Arial"/>
                <w:sz w:val="15"/>
                <w:szCs w:val="15"/>
                <w:color w:val="auto"/>
              </w:rPr>
              <w:t>Due after one year through five years</w:t>
            </w:r>
          </w:p>
        </w:tc>
        <w:tc>
          <w:tcPr>
            <w:tcW w:w="6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3,086</w:t>
            </w:r>
          </w:p>
        </w:tc>
        <w:tc>
          <w:tcPr>
            <w:tcW w:w="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7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Due after five years through ten years</w:t>
            </w:r>
          </w:p>
        </w:tc>
        <w:tc>
          <w:tcPr>
            <w:tcW w:w="62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1,827</w:t>
            </w:r>
          </w:p>
        </w:tc>
        <w:tc>
          <w:tcPr>
            <w:tcW w:w="4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500" w:type="dxa"/>
            <w:vAlign w:val="bottom"/>
            <w:tcBorders>
              <w:top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ind w:right="304"/>
              <w:spacing w:after="0"/>
              <w:rPr>
                <w:sz w:val="20"/>
                <w:szCs w:val="20"/>
                <w:color w:val="auto"/>
              </w:rPr>
            </w:pPr>
            <w:r>
              <w:rPr>
                <w:rFonts w:ascii="Arial" w:cs="Arial" w:eastAsia="Arial" w:hAnsi="Arial"/>
                <w:sz w:val="15"/>
                <w:szCs w:val="15"/>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8,927</w:t>
            </w:r>
          </w:p>
        </w:tc>
        <w:tc>
          <w:tcPr>
            <w:tcW w:w="46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9" w:firstLine="408"/>
        <w:spacing w:after="0" w:line="314" w:lineRule="auto"/>
        <w:rPr>
          <w:sz w:val="20"/>
          <w:szCs w:val="20"/>
          <w:color w:val="auto"/>
        </w:rPr>
      </w:pPr>
      <w:r>
        <w:rPr>
          <w:rFonts w:ascii="Arial" w:cs="Arial" w:eastAsia="Arial" w:hAnsi="Arial"/>
          <w:sz w:val="14"/>
          <w:szCs w:val="14"/>
          <w:color w:val="auto"/>
        </w:rPr>
        <w:t>The fair value accounting framework provides a fair value hierarchy that prioritizes the inputs to valuation techniques used to measure fair value. The hierarchy gives the highest priority to unadjusted quoted prices in active markets for identical assets or liabilities (level 1 measurements) and the lowest priority to unobservable inputs (level 3 measurements).</w:t>
      </w:r>
    </w:p>
    <w:p>
      <w:pPr>
        <w:spacing w:after="0" w:line="146" w:lineRule="exact"/>
        <w:rPr>
          <w:sz w:val="20"/>
          <w:szCs w:val="20"/>
          <w:color w:val="auto"/>
        </w:rPr>
      </w:pPr>
    </w:p>
    <w:p>
      <w:pPr>
        <w:ind w:left="409"/>
        <w:spacing w:after="0"/>
        <w:rPr>
          <w:sz w:val="20"/>
          <w:szCs w:val="20"/>
          <w:color w:val="auto"/>
        </w:rPr>
      </w:pPr>
      <w:r>
        <w:rPr>
          <w:rFonts w:ascii="Arial" w:cs="Arial" w:eastAsia="Arial" w:hAnsi="Arial"/>
          <w:sz w:val="15"/>
          <w:szCs w:val="15"/>
          <w:color w:val="auto"/>
        </w:rPr>
        <w:t>The three levels of the fair value hierarchy are described below:</w:t>
      </w:r>
    </w:p>
    <w:p>
      <w:pPr>
        <w:spacing w:after="0" w:line="213" w:lineRule="exact"/>
        <w:rPr>
          <w:sz w:val="20"/>
          <w:szCs w:val="20"/>
          <w:color w:val="auto"/>
        </w:rPr>
      </w:pPr>
    </w:p>
    <w:p>
      <w:pPr>
        <w:ind w:left="329"/>
        <w:spacing w:after="0"/>
        <w:tabs>
          <w:tab w:leader="none" w:pos="1129" w:val="left"/>
        </w:tabs>
        <w:rPr>
          <w:sz w:val="20"/>
          <w:szCs w:val="20"/>
          <w:color w:val="auto"/>
        </w:rPr>
      </w:pPr>
      <w:r>
        <w:rPr>
          <w:rFonts w:ascii="Arial" w:cs="Arial" w:eastAsia="Arial" w:hAnsi="Arial"/>
          <w:sz w:val="15"/>
          <w:szCs w:val="15"/>
          <w:color w:val="auto"/>
        </w:rPr>
        <w:t>Level 1</w:t>
      </w:r>
      <w:r>
        <w:rPr>
          <w:sz w:val="20"/>
          <w:szCs w:val="20"/>
          <w:color w:val="auto"/>
        </w:rPr>
        <w:tab/>
      </w:r>
      <w:r>
        <w:rPr>
          <w:rFonts w:ascii="Arial" w:cs="Arial" w:eastAsia="Arial" w:hAnsi="Arial"/>
          <w:sz w:val="13"/>
          <w:szCs w:val="13"/>
          <w:color w:val="auto"/>
        </w:rPr>
        <w:t>Inputs to the valuation methodology are unadjusted quoted prices for identical assets or liabilities in active markets that the Company has the ability to access.</w:t>
      </w:r>
    </w:p>
    <w:p>
      <w:pPr>
        <w:spacing w:after="0" w:line="18" w:lineRule="exact"/>
        <w:rPr>
          <w:sz w:val="20"/>
          <w:szCs w:val="20"/>
          <w:color w:val="auto"/>
        </w:rPr>
      </w:pPr>
    </w:p>
    <w:p>
      <w:pPr>
        <w:ind w:left="349"/>
        <w:spacing w:after="0"/>
        <w:tabs>
          <w:tab w:leader="none" w:pos="1129" w:val="left"/>
        </w:tabs>
        <w:rPr>
          <w:sz w:val="20"/>
          <w:szCs w:val="20"/>
          <w:color w:val="auto"/>
        </w:rPr>
      </w:pPr>
      <w:r>
        <w:rPr>
          <w:rFonts w:ascii="Arial" w:cs="Arial" w:eastAsia="Arial" w:hAnsi="Arial"/>
          <w:sz w:val="15"/>
          <w:szCs w:val="15"/>
          <w:color w:val="auto"/>
        </w:rPr>
        <w:t>Level 2</w:t>
      </w:r>
      <w:r>
        <w:rPr>
          <w:sz w:val="20"/>
          <w:szCs w:val="20"/>
          <w:color w:val="auto"/>
        </w:rPr>
        <w:tab/>
      </w:r>
      <w:r>
        <w:rPr>
          <w:rFonts w:ascii="Arial" w:cs="Arial" w:eastAsia="Arial" w:hAnsi="Arial"/>
          <w:sz w:val="13"/>
          <w:szCs w:val="13"/>
          <w:color w:val="auto"/>
        </w:rPr>
        <w:t>Inputs to the valuation methodology include:</w:t>
      </w:r>
    </w:p>
    <w:p>
      <w:pPr>
        <w:spacing w:after="0" w:line="204" w:lineRule="exact"/>
        <w:rPr>
          <w:sz w:val="20"/>
          <w:szCs w:val="20"/>
          <w:color w:val="auto"/>
        </w:rPr>
      </w:pPr>
    </w:p>
    <w:p>
      <w:pPr>
        <w:ind w:left="1449" w:hanging="88"/>
        <w:spacing w:after="0"/>
        <w:tabs>
          <w:tab w:leader="none" w:pos="14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Quoted prices for similar assets or liabilities in active markets;</w:t>
      </w:r>
    </w:p>
    <w:p>
      <w:pPr>
        <w:spacing w:after="0" w:line="213" w:lineRule="exact"/>
        <w:rPr>
          <w:rFonts w:ascii="Arial" w:cs="Arial" w:eastAsia="Arial" w:hAnsi="Arial"/>
          <w:sz w:val="15"/>
          <w:szCs w:val="15"/>
          <w:color w:val="auto"/>
        </w:rPr>
      </w:pPr>
    </w:p>
    <w:p>
      <w:pPr>
        <w:ind w:left="1449" w:hanging="88"/>
        <w:spacing w:after="0"/>
        <w:tabs>
          <w:tab w:leader="none" w:pos="14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Quoted prices for identical or similar assets or liabilities in inactive markets</w:t>
      </w:r>
    </w:p>
    <w:p>
      <w:pPr>
        <w:spacing w:after="0" w:line="213" w:lineRule="exact"/>
        <w:rPr>
          <w:rFonts w:ascii="Arial" w:cs="Arial" w:eastAsia="Arial" w:hAnsi="Arial"/>
          <w:sz w:val="15"/>
          <w:szCs w:val="15"/>
          <w:color w:val="auto"/>
        </w:rPr>
      </w:pPr>
    </w:p>
    <w:p>
      <w:pPr>
        <w:ind w:left="1449" w:hanging="88"/>
        <w:spacing w:after="0"/>
        <w:tabs>
          <w:tab w:leader="none" w:pos="14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Inputs other than quoted prices that are observable for the asset or liability;</w:t>
      </w:r>
    </w:p>
    <w:p>
      <w:pPr>
        <w:spacing w:after="0" w:line="213" w:lineRule="exact"/>
        <w:rPr>
          <w:rFonts w:ascii="Arial" w:cs="Arial" w:eastAsia="Arial" w:hAnsi="Arial"/>
          <w:sz w:val="15"/>
          <w:szCs w:val="15"/>
          <w:color w:val="auto"/>
        </w:rPr>
      </w:pPr>
    </w:p>
    <w:p>
      <w:pPr>
        <w:ind w:left="1449" w:hanging="88"/>
        <w:spacing w:after="0"/>
        <w:tabs>
          <w:tab w:leader="none" w:pos="1449" w:val="left"/>
        </w:tabs>
        <w:numPr>
          <w:ilvl w:val="0"/>
          <w:numId w:val="10"/>
        </w:numPr>
        <w:rPr>
          <w:rFonts w:ascii="Arial" w:cs="Arial" w:eastAsia="Arial" w:hAnsi="Arial"/>
          <w:sz w:val="15"/>
          <w:szCs w:val="15"/>
          <w:color w:val="auto"/>
        </w:rPr>
      </w:pPr>
      <w:r>
        <w:rPr>
          <w:rFonts w:ascii="Arial" w:cs="Arial" w:eastAsia="Arial" w:hAnsi="Arial"/>
          <w:sz w:val="15"/>
          <w:szCs w:val="15"/>
          <w:color w:val="auto"/>
        </w:rPr>
        <w:t>Inputs that are derived principally from or corroborated by observable market data by correlation or other means.</w:t>
      </w:r>
    </w:p>
    <w:p>
      <w:pPr>
        <w:spacing w:after="0" w:line="213" w:lineRule="exact"/>
        <w:rPr>
          <w:rFonts w:ascii="Arial" w:cs="Arial" w:eastAsia="Arial" w:hAnsi="Arial"/>
          <w:sz w:val="15"/>
          <w:szCs w:val="15"/>
          <w:color w:val="auto"/>
        </w:rPr>
      </w:pPr>
    </w:p>
    <w:p>
      <w:pPr>
        <w:ind w:left="349"/>
        <w:spacing w:after="0"/>
        <w:rPr>
          <w:rFonts w:ascii="Arial" w:cs="Arial" w:eastAsia="Arial" w:hAnsi="Arial"/>
          <w:sz w:val="15"/>
          <w:szCs w:val="15"/>
          <w:color w:val="auto"/>
        </w:rPr>
      </w:pPr>
      <w:r>
        <w:rPr>
          <w:rFonts w:ascii="Arial" w:cs="Arial" w:eastAsia="Arial" w:hAnsi="Arial"/>
          <w:sz w:val="15"/>
          <w:szCs w:val="15"/>
          <w:color w:val="auto"/>
        </w:rPr>
        <w:t>Level 3</w:t>
      </w:r>
      <w:r>
        <w:rPr>
          <w:rFonts w:ascii="Arial" w:cs="Arial" w:eastAsia="Arial" w:hAnsi="Arial"/>
          <w:sz w:val="13"/>
          <w:szCs w:val="13"/>
          <w:color w:val="auto"/>
        </w:rPr>
        <w:t>Inputs to the valuation methodology are unobservable and significant to the fair value measurement.</w:t>
      </w:r>
    </w:p>
    <w:p>
      <w:pPr>
        <w:spacing w:after="0" w:line="213"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asset’s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 All of the Company’s investments in marketable securities are Level 1 assets.</w:t>
      </w:r>
    </w:p>
    <w:p>
      <w:pPr>
        <w:spacing w:after="0" w:line="177" w:lineRule="exact"/>
        <w:rPr>
          <w:sz w:val="20"/>
          <w:szCs w:val="20"/>
          <w:color w:val="auto"/>
        </w:rPr>
      </w:pPr>
    </w:p>
    <w:p>
      <w:pPr>
        <w:ind w:left="549" w:hanging="549"/>
        <w:spacing w:after="0"/>
        <w:tabs>
          <w:tab w:leader="none" w:pos="549" w:val="left"/>
        </w:tabs>
        <w:numPr>
          <w:ilvl w:val="0"/>
          <w:numId w:val="11"/>
        </w:numPr>
        <w:rPr>
          <w:rFonts w:ascii="Arial" w:cs="Arial" w:eastAsia="Arial" w:hAnsi="Arial"/>
          <w:sz w:val="15"/>
          <w:szCs w:val="15"/>
          <w:color w:val="auto"/>
        </w:rPr>
      </w:pPr>
      <w:r>
        <w:rPr>
          <w:rFonts w:ascii="Arial" w:cs="Arial" w:eastAsia="Arial" w:hAnsi="Arial"/>
          <w:sz w:val="15"/>
          <w:szCs w:val="15"/>
          <w:u w:val="single" w:color="auto"/>
          <w:color w:val="auto"/>
        </w:rPr>
        <w:t>Debt Obligations</w:t>
      </w:r>
    </w:p>
    <w:p>
      <w:pPr>
        <w:spacing w:after="0" w:line="213" w:lineRule="exact"/>
        <w:rPr>
          <w:sz w:val="20"/>
          <w:szCs w:val="20"/>
          <w:color w:val="auto"/>
        </w:rPr>
      </w:pPr>
    </w:p>
    <w:p>
      <w:pPr>
        <w:jc w:val="both"/>
        <w:ind w:left="9" w:firstLine="408"/>
        <w:spacing w:after="0" w:line="279" w:lineRule="auto"/>
        <w:rPr>
          <w:sz w:val="20"/>
          <w:szCs w:val="20"/>
          <w:color w:val="auto"/>
        </w:rPr>
      </w:pPr>
      <w:r>
        <w:rPr>
          <w:rFonts w:ascii="Arial" w:cs="Arial" w:eastAsia="Arial" w:hAnsi="Arial"/>
          <w:sz w:val="14"/>
          <w:szCs w:val="14"/>
          <w:color w:val="auto"/>
        </w:rPr>
        <w:t>On June 6, 2013, the Company obtained a credit facility (the “Facility”) from JPMorgan Chase Bank, N.A. (“JPMorgan”) pursuant to a credit agreement (the “Credit Agreement”) between the Company and JPMorgan. The maximum aggregate amount of the Facility is $25.0 million, of which the Company immediately borrowed $7.2 million, using the proceeds to repay the outstanding balance under the $9.3 million line of credit with another financial institution which formerly managed a substantial portion of the Company’s investment portfolio. As a result of this refinancing of short-term credit with a long-term obligation, as of April 30, 2013, the Company reclassified the $6.0 million balance payable under the replaced line of credit to long-term debt. Proceeds from the Facility will be used for working capital and to finance acquisitions. During the year ended April 30, 2014, the Company borrowed an additional $4.1 million under the Facility, primarily to finance the acquisition of additional manufacturing equipment.</w:t>
      </w:r>
    </w:p>
    <w:p>
      <w:pPr>
        <w:spacing w:after="0" w:line="295"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15" w:right="219" w:bottom="1440" w:gutter="0" w:footer="0" w:header="0"/>
        </w:sectPr>
      </w:pPr>
    </w:p>
    <w:bookmarkStart w:id="37" w:name="page38"/>
    <w:bookmarkEnd w:id="3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5"/>
          <w:szCs w:val="15"/>
          <w:color w:val="auto"/>
        </w:rPr>
        <w:t>The Company may make borrowings under the Facility, from either Tranche A or Tranche B or a combination of both, not to exceed $25.0 million. Pursuant to the Credit Agreement, the amount of Tranche A borrowings may not exceed the value of the Pledged Investments (as defined in the Credit Agreement). The amount of Tranche B borrowings may not exceed the lesser of (i) $15.0 million and (ii) the Borrowing Base (as defined in the Credit Agreement). Current outstanding borrowings under the Facility are all under Tranche A. The Facility is fully guaranteed by certain of the Company’s subsidiaries and is secured by, among other things, a pledge of substantially all personal property of the Company and certain of the Company’s subsidiaries.</w:t>
      </w:r>
    </w:p>
    <w:p>
      <w:pPr>
        <w:spacing w:after="0" w:line="185"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Borrowings under the Facility are evidenced by a line of credit note (the “Note”) and bear interest, payable monthly, at a rate equal to the LIBOR Rate, as determined from time to time by JPMorgan pursuant to the terms of the Note, plus a margin of 0.75% for Tranche A borrowings and 1.75% for Tranche B borrowings. The principal balance on the Note, along with any accrued and unpaid interest, is due and payable no later than June 5, 2018, which is the maturity date of the Facility. In addition, the Company is required to pay JPMorgan fees equal to 0.1% per annum on any unused portion of the Facility.</w:t>
      </w:r>
    </w:p>
    <w:p>
      <w:pPr>
        <w:spacing w:after="0" w:line="180"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4"/>
          <w:szCs w:val="14"/>
          <w:color w:val="auto"/>
        </w:rPr>
        <w:t>The Credit Agreement contains a number of affirmative and negative covenants, including limitations on the incurrence of additional debt, liens on property, acquisitions, loans and guarantees, mergers, consolidations, liquidations and dissolutions, asset sales, and distributions and other payments in respect of the Company’s capital stock. The Credit Agreement also contains certain events of default customary for credit facilities of this type, including nonpayment of principal or interest when due, material incorrectness of representations and warranties when made, breach of covenants, bankruptcy and insolvency, unstayed material judgment beyond specified periods, and acceleration or payment default of other material indebtedness. The Credit Agreement requires the Company to maintain, as of the end of each fiscal quarter, a funded debt to EBITDA (Earnings Before Interest, Taxes, Depreciation and Amortization) ratio and, if there are any borrowings under Tranche B, an interest charge coverage ratio. The calculation of both ratios is defined in the Credit Agreement. For the year ended April 30, 2014, the Company met the required covenants for its borrowings under Tranche A.</w:t>
      </w:r>
    </w:p>
    <w:p>
      <w:pPr>
        <w:spacing w:after="0" w:line="174"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Under the Company’s subsequently replaced $9.3 million line of credit, noted above, during the fiscal year ended April 30, 2013, the Company borrowed $5.0 million and repaid the same amount. The highest borrowings under this line of credit during fiscal year 2013 was $8.5 million. The line was secured by the investments and had no maturity date so long as the Company maintained its investments with the financial institution. During fiscal year 2013, advances against the line of credit bore interest at variable interest rates between 1.70% and 1.80%.</w:t>
      </w:r>
    </w:p>
    <w:p>
      <w:pPr>
        <w:spacing w:after="0" w:line="180"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Company’s European subsidiaries have available 250,000 Euros (approximately $350,000 based on current rates of exchange between the dollar and the Euro) in a bank credit line to meet short-term cash flow requirements. As of April 30, 2014 and 2013, no amounts were outstanding under such line of credit. Borrowings under the bank credit line, if any, must be repaid within one year of receipt of funds. Interest on this credit line is at 1.0% over the EURO Interbank Offered rate (EURIBOR). At April 30, 2014 and 2013, the rate was 1.235% and 1.117%, respectively, based on the one-month EURIBOR.</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38" w:name="page39"/>
    <w:bookmarkEnd w:id="38"/>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ind w:left="529" w:hanging="529"/>
        <w:spacing w:after="0"/>
        <w:tabs>
          <w:tab w:leader="none" w:pos="529" w:val="left"/>
        </w:tabs>
        <w:numPr>
          <w:ilvl w:val="0"/>
          <w:numId w:val="12"/>
        </w:numPr>
        <w:rPr>
          <w:rFonts w:ascii="Arial" w:cs="Arial" w:eastAsia="Arial" w:hAnsi="Arial"/>
          <w:sz w:val="15"/>
          <w:szCs w:val="15"/>
          <w:color w:val="auto"/>
        </w:rPr>
      </w:pPr>
      <w:r>
        <w:rPr>
          <w:rFonts w:ascii="Arial" w:cs="Arial" w:eastAsia="Arial" w:hAnsi="Arial"/>
          <w:sz w:val="15"/>
          <w:szCs w:val="15"/>
          <w:u w:val="single" w:color="auto"/>
          <w:color w:val="auto"/>
        </w:rPr>
        <w:t>Accrued Liabilities</w:t>
      </w:r>
    </w:p>
    <w:p>
      <w:pPr>
        <w:spacing w:after="0" w:line="213" w:lineRule="exact"/>
        <w:rPr>
          <w:sz w:val="20"/>
          <w:szCs w:val="20"/>
          <w:color w:val="auto"/>
        </w:rPr>
      </w:pPr>
    </w:p>
    <w:tbl>
      <w:tblPr>
        <w:tblLayout w:type="fixed"/>
        <w:tblInd w:w="9" w:type="dxa"/>
        <w:tblCellMar>
          <w:top w:w="0" w:type="dxa"/>
          <w:left w:w="0" w:type="dxa"/>
          <w:bottom w:w="0" w:type="dxa"/>
          <w:right w:w="0" w:type="dxa"/>
        </w:tblCellMar>
      </w:tblPr>
      <w:tr>
        <w:trPr>
          <w:trHeight w:val="191"/>
        </w:trPr>
        <w:tc>
          <w:tcPr>
            <w:tcW w:w="260" w:type="dxa"/>
            <w:vAlign w:val="bottom"/>
          </w:tcPr>
          <w:p>
            <w:pPr>
              <w:spacing w:after="0"/>
              <w:rPr>
                <w:sz w:val="16"/>
                <w:szCs w:val="16"/>
                <w:color w:val="auto"/>
              </w:rPr>
            </w:pPr>
          </w:p>
        </w:tc>
        <w:tc>
          <w:tcPr>
            <w:tcW w:w="6000" w:type="dxa"/>
            <w:vAlign w:val="bottom"/>
            <w:gridSpan w:val="4"/>
          </w:tcPr>
          <w:p>
            <w:pPr>
              <w:ind w:left="140"/>
              <w:spacing w:after="0"/>
              <w:rPr>
                <w:sz w:val="20"/>
                <w:szCs w:val="20"/>
                <w:color w:val="auto"/>
              </w:rPr>
            </w:pPr>
            <w:r>
              <w:rPr>
                <w:rFonts w:ascii="Arial" w:cs="Arial" w:eastAsia="Arial" w:hAnsi="Arial"/>
                <w:sz w:val="15"/>
                <w:szCs w:val="15"/>
                <w:color w:val="auto"/>
              </w:rPr>
              <w:t>Accrued liabilities at April 30, 2014 and 2013 consist of the following (in thousands):</w:t>
            </w: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90"/>
        </w:trPr>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Borders>
              <w:bottom w:val="single" w:sz="8" w:color="auto"/>
            </w:tcBorders>
          </w:tcPr>
          <w:p>
            <w:pPr>
              <w:jc w:val="right"/>
              <w:ind w:right="24"/>
              <w:spacing w:after="0"/>
              <w:rPr>
                <w:sz w:val="20"/>
                <w:szCs w:val="20"/>
                <w:color w:val="auto"/>
              </w:rPr>
            </w:pPr>
            <w:r>
              <w:rPr>
                <w:rFonts w:ascii="Arial" w:cs="Arial" w:eastAsia="Arial" w:hAnsi="Arial"/>
                <w:sz w:val="15"/>
                <w:szCs w:val="15"/>
                <w:b w:val="1"/>
                <w:bCs w:val="1"/>
                <w:color w:val="auto"/>
              </w:rPr>
              <w:t>2014</w:t>
            </w:r>
          </w:p>
        </w:tc>
        <w:tc>
          <w:tcPr>
            <w:tcW w:w="4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Vacation and other compensation</w:t>
            </w:r>
          </w:p>
        </w:tc>
        <w:tc>
          <w:tcPr>
            <w:tcW w:w="160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1,761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1,794</w:t>
            </w:r>
          </w:p>
        </w:tc>
        <w:tc>
          <w:tcPr>
            <w:tcW w:w="100" w:type="dxa"/>
            <w:vAlign w:val="bottom"/>
            <w:shd w:val="clear" w:color="auto" w:fill="CCEEFF"/>
          </w:tcPr>
          <w:p>
            <w:pPr>
              <w:spacing w:after="0"/>
              <w:rPr>
                <w:sz w:val="15"/>
                <w:szCs w:val="15"/>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5"/>
                <w:szCs w:val="15"/>
                <w:color w:val="auto"/>
              </w:rPr>
              <w:t>Incentive compensation</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1,389</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1,634</w:t>
            </w:r>
          </w:p>
        </w:tc>
        <w:tc>
          <w:tcPr>
            <w:tcW w:w="100" w:type="dxa"/>
            <w:vAlign w:val="bottom"/>
          </w:tcPr>
          <w:p>
            <w:pPr>
              <w:spacing w:after="0"/>
              <w:rPr>
                <w:sz w:val="15"/>
                <w:szCs w:val="15"/>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Payroll taxes</w:t>
            </w: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1,613</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w:t>
            </w:r>
          </w:p>
        </w:tc>
        <w:tc>
          <w:tcPr>
            <w:tcW w:w="100" w:type="dxa"/>
            <w:vAlign w:val="bottom"/>
            <w:shd w:val="clear" w:color="auto" w:fill="CCEEFF"/>
          </w:tcPr>
          <w:p>
            <w:pPr>
              <w:spacing w:after="0"/>
              <w:rPr>
                <w:sz w:val="15"/>
                <w:szCs w:val="15"/>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20" w:type="dxa"/>
            <w:vAlign w:val="bottom"/>
            <w:gridSpan w:val="2"/>
          </w:tcPr>
          <w:p>
            <w:pPr>
              <w:spacing w:after="0"/>
              <w:rPr>
                <w:sz w:val="20"/>
                <w:szCs w:val="20"/>
                <w:color w:val="auto"/>
              </w:rPr>
            </w:pPr>
            <w:r>
              <w:rPr>
                <w:rFonts w:ascii="Arial" w:cs="Arial" w:eastAsia="Arial" w:hAnsi="Arial"/>
                <w:sz w:val="15"/>
                <w:szCs w:val="15"/>
                <w:color w:val="auto"/>
              </w:rPr>
              <w:t>Deferred revenue</w:t>
            </w: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1,023</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1,620</w:t>
            </w:r>
          </w:p>
        </w:tc>
        <w:tc>
          <w:tcPr>
            <w:tcW w:w="100" w:type="dxa"/>
            <w:vAlign w:val="bottom"/>
          </w:tcPr>
          <w:p>
            <w:pPr>
              <w:spacing w:after="0"/>
              <w:rPr>
                <w:sz w:val="15"/>
                <w:szCs w:val="15"/>
                <w:color w:val="auto"/>
              </w:rPr>
            </w:pPr>
          </w:p>
        </w:tc>
      </w:tr>
      <w:tr>
        <w:trPr>
          <w:trHeight w:val="182"/>
        </w:trPr>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Warranty reserve</w:t>
            </w:r>
          </w:p>
        </w:tc>
        <w:tc>
          <w:tcPr>
            <w:tcW w:w="6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00" w:type="dxa"/>
            <w:vAlign w:val="bottom"/>
            <w:shd w:val="clear" w:color="auto" w:fill="CCEEFF"/>
          </w:tcPr>
          <w:p>
            <w:pPr>
              <w:spacing w:after="0"/>
              <w:rPr>
                <w:sz w:val="15"/>
                <w:szCs w:val="15"/>
                <w:color w:val="auto"/>
              </w:rPr>
            </w:pPr>
          </w:p>
        </w:tc>
      </w:tr>
      <w:tr>
        <w:trPr>
          <w:trHeight w:val="184"/>
        </w:trPr>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820" w:type="dxa"/>
            <w:vAlign w:val="bottom"/>
            <w:gridSpan w:val="2"/>
          </w:tcPr>
          <w:p>
            <w:pPr>
              <w:spacing w:after="0"/>
              <w:rPr>
                <w:sz w:val="20"/>
                <w:szCs w:val="20"/>
                <w:color w:val="auto"/>
              </w:rPr>
            </w:pPr>
            <w:r>
              <w:rPr>
                <w:rFonts w:ascii="Arial" w:cs="Arial" w:eastAsia="Arial" w:hAnsi="Arial"/>
                <w:sz w:val="15"/>
                <w:szCs w:val="15"/>
                <w:color w:val="auto"/>
              </w:rPr>
              <w:t>Other</w:t>
            </w:r>
          </w:p>
        </w:tc>
        <w:tc>
          <w:tcPr>
            <w:tcW w:w="66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958</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995</w:t>
            </w:r>
          </w:p>
        </w:tc>
        <w:tc>
          <w:tcPr>
            <w:tcW w:w="100" w:type="dxa"/>
            <w:vAlign w:val="bottom"/>
          </w:tcPr>
          <w:p>
            <w:pPr>
              <w:spacing w:after="0"/>
              <w:rPr>
                <w:sz w:val="16"/>
                <w:szCs w:val="16"/>
                <w:color w:val="auto"/>
              </w:rPr>
            </w:pPr>
          </w:p>
        </w:tc>
      </w:tr>
      <w:tr>
        <w:trPr>
          <w:trHeight w:val="202"/>
        </w:trPr>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7,361</w:t>
            </w:r>
          </w:p>
        </w:tc>
        <w:tc>
          <w:tcPr>
            <w:tcW w:w="50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7,964</w:t>
            </w:r>
          </w:p>
        </w:tc>
        <w:tc>
          <w:tcPr>
            <w:tcW w:w="100" w:type="dxa"/>
            <w:vAlign w:val="bottom"/>
            <w:shd w:val="clear" w:color="auto" w:fill="CCEEFF"/>
          </w:tcPr>
          <w:p>
            <w:pPr>
              <w:spacing w:after="0"/>
              <w:rPr>
                <w:sz w:val="17"/>
                <w:szCs w:val="17"/>
                <w:color w:val="auto"/>
              </w:rPr>
            </w:pPr>
          </w:p>
        </w:tc>
      </w:tr>
      <w:tr>
        <w:trPr>
          <w:trHeight w:val="20"/>
        </w:trPr>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37"/>
        </w:trPr>
        <w:tc>
          <w:tcPr>
            <w:tcW w:w="260" w:type="dxa"/>
            <w:vAlign w:val="bottom"/>
          </w:tcPr>
          <w:p>
            <w:pPr>
              <w:jc w:val="right"/>
              <w:ind w:right="95"/>
              <w:spacing w:after="0"/>
              <w:rPr>
                <w:sz w:val="20"/>
                <w:szCs w:val="20"/>
                <w:color w:val="auto"/>
              </w:rPr>
            </w:pPr>
            <w:r>
              <w:rPr>
                <w:rFonts w:ascii="Arial" w:cs="Arial" w:eastAsia="Arial" w:hAnsi="Arial"/>
                <w:sz w:val="13"/>
                <w:szCs w:val="13"/>
                <w:color w:val="auto"/>
                <w:w w:val="73"/>
              </w:rPr>
              <w:t>9.</w:t>
            </w:r>
          </w:p>
        </w:tc>
        <w:tc>
          <w:tcPr>
            <w:tcW w:w="260" w:type="dxa"/>
            <w:vAlign w:val="bottom"/>
          </w:tcPr>
          <w:p>
            <w:pPr>
              <w:spacing w:after="0"/>
              <w:rPr>
                <w:sz w:val="24"/>
                <w:szCs w:val="2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8"/>
              </w:rPr>
              <w:t>Product Warranties</w:t>
            </w:r>
          </w:p>
        </w:tc>
        <w:tc>
          <w:tcPr>
            <w:tcW w:w="4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16"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Company generally provides its customers with a one-year warranty regarding the manufactured quality and functionality of its products. For some limited products, the warranty period has been extended. The Company establishes warranty reserves based on its product history, current information on repair costs and annual sales levels. Changes in the carrying amount of accrued product warranty costs are as follows (in thousands):</w:t>
      </w:r>
    </w:p>
    <w:p>
      <w:pPr>
        <w:spacing w:after="0" w:line="173" w:lineRule="exact"/>
        <w:rPr>
          <w:sz w:val="20"/>
          <w:szCs w:val="20"/>
          <w:color w:val="auto"/>
        </w:rPr>
      </w:pPr>
    </w:p>
    <w:tbl>
      <w:tblPr>
        <w:tblLayout w:type="fixed"/>
        <w:tblInd w:w="9" w:type="dxa"/>
        <w:tblCellMar>
          <w:top w:w="0" w:type="dxa"/>
          <w:left w:w="0" w:type="dxa"/>
          <w:bottom w:w="0" w:type="dxa"/>
          <w:right w:w="0" w:type="dxa"/>
        </w:tblCellMar>
      </w:tblPr>
      <w:tr>
        <w:trPr>
          <w:trHeight w:val="199"/>
        </w:trPr>
        <w:tc>
          <w:tcPr>
            <w:tcW w:w="4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560" w:type="dxa"/>
            <w:vAlign w:val="bottom"/>
            <w:tcBorders>
              <w:bottom w:val="single" w:sz="8" w:color="auto"/>
            </w:tcBorders>
            <w:gridSpan w:val="5"/>
          </w:tcPr>
          <w:p>
            <w:pPr>
              <w:jc w:val="right"/>
              <w:ind w:right="324"/>
              <w:spacing w:after="0"/>
              <w:rPr>
                <w:sz w:val="20"/>
                <w:szCs w:val="20"/>
                <w:color w:val="auto"/>
              </w:rPr>
            </w:pPr>
            <w:r>
              <w:rPr>
                <w:rFonts w:ascii="Arial" w:cs="Arial" w:eastAsia="Arial" w:hAnsi="Arial"/>
                <w:sz w:val="15"/>
                <w:szCs w:val="15"/>
                <w:b w:val="1"/>
                <w:bCs w:val="1"/>
                <w:color w:val="auto"/>
              </w:rPr>
              <w:t>Year Ended April 30,</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96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2014</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2013</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Balance at beginning of year</w:t>
            </w:r>
          </w:p>
        </w:tc>
        <w:tc>
          <w:tcPr>
            <w:tcW w:w="2840" w:type="dxa"/>
            <w:vAlign w:val="bottom"/>
            <w:gridSpan w:val="2"/>
            <w:shd w:val="clear" w:color="auto" w:fill="CCEEFF"/>
          </w:tcPr>
          <w:p>
            <w:pPr>
              <w:jc w:val="right"/>
              <w:ind w:right="804"/>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844"/>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778</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Arial" w:cs="Arial" w:eastAsia="Arial" w:hAnsi="Arial"/>
                <w:sz w:val="15"/>
                <w:szCs w:val="15"/>
                <w:color w:val="auto"/>
              </w:rPr>
              <w:t>Warranty costs incurred</w:t>
            </w:r>
          </w:p>
        </w:tc>
        <w:tc>
          <w:tcPr>
            <w:tcW w:w="1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5"/>
                <w:szCs w:val="15"/>
                <w:color w:val="auto"/>
              </w:rPr>
              <w:t>(324)</w:t>
            </w:r>
          </w:p>
        </w:tc>
        <w:tc>
          <w:tcPr>
            <w:tcW w:w="0" w:type="dxa"/>
            <w:vAlign w:val="bottom"/>
          </w:tcPr>
          <w:p>
            <w:pPr>
              <w:spacing w:after="0"/>
              <w:rPr>
                <w:sz w:val="1"/>
                <w:szCs w:val="1"/>
                <w:color w:val="auto"/>
              </w:rPr>
            </w:pPr>
          </w:p>
        </w:tc>
      </w:tr>
      <w:tr>
        <w:trPr>
          <w:trHeight w:val="184"/>
        </w:trPr>
        <w:tc>
          <w:tcPr>
            <w:tcW w:w="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5"/>
                <w:szCs w:val="15"/>
                <w:color w:val="auto"/>
              </w:rPr>
              <w:t>Product warranty accrual</w:t>
            </w:r>
          </w:p>
        </w:tc>
        <w:tc>
          <w:tcPr>
            <w:tcW w:w="18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358</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144</w:t>
            </w: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600" w:type="dxa"/>
            <w:vAlign w:val="bottom"/>
            <w:gridSpan w:val="2"/>
          </w:tcPr>
          <w:p>
            <w:pPr>
              <w:spacing w:after="0"/>
              <w:rPr>
                <w:sz w:val="20"/>
                <w:szCs w:val="20"/>
                <w:color w:val="auto"/>
              </w:rPr>
            </w:pPr>
            <w:r>
              <w:rPr>
                <w:rFonts w:ascii="Arial" w:cs="Arial" w:eastAsia="Arial" w:hAnsi="Arial"/>
                <w:sz w:val="15"/>
                <w:szCs w:val="15"/>
                <w:color w:val="auto"/>
              </w:rPr>
              <w:t>Balance at end of year</w:t>
            </w:r>
          </w:p>
        </w:tc>
        <w:tc>
          <w:tcPr>
            <w:tcW w:w="2840" w:type="dxa"/>
            <w:vAlign w:val="bottom"/>
            <w:gridSpan w:val="2"/>
          </w:tcPr>
          <w:p>
            <w:pPr>
              <w:jc w:val="right"/>
              <w:ind w:right="804"/>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617</w:t>
            </w:r>
          </w:p>
        </w:tc>
        <w:tc>
          <w:tcPr>
            <w:tcW w:w="120" w:type="dxa"/>
            <w:vAlign w:val="bottom"/>
          </w:tcPr>
          <w:p>
            <w:pPr>
              <w:spacing w:after="0"/>
              <w:rPr>
                <w:sz w:val="15"/>
                <w:szCs w:val="15"/>
                <w:color w:val="auto"/>
              </w:rPr>
            </w:pPr>
          </w:p>
        </w:tc>
        <w:tc>
          <w:tcPr>
            <w:tcW w:w="1060" w:type="dxa"/>
            <w:vAlign w:val="bottom"/>
            <w:gridSpan w:val="2"/>
          </w:tcPr>
          <w:p>
            <w:pPr>
              <w:jc w:val="right"/>
              <w:ind w:right="844"/>
              <w:spacing w:after="0"/>
              <w:rPr>
                <w:sz w:val="20"/>
                <w:szCs w:val="20"/>
                <w:color w:val="auto"/>
              </w:rPr>
            </w:pPr>
            <w:r>
              <w:rPr>
                <w:rFonts w:ascii="Arial" w:cs="Arial" w:eastAsia="Arial" w:hAnsi="Arial"/>
                <w:sz w:val="15"/>
                <w:szCs w:val="15"/>
                <w:color w:val="auto"/>
              </w:rPr>
              <w:t>$</w:t>
            </w:r>
          </w:p>
        </w:tc>
        <w:tc>
          <w:tcPr>
            <w:tcW w:w="420" w:type="dxa"/>
            <w:vAlign w:val="bottom"/>
          </w:tcPr>
          <w:p>
            <w:pPr>
              <w:jc w:val="right"/>
              <w:spacing w:after="0"/>
              <w:rPr>
                <w:sz w:val="20"/>
                <w:szCs w:val="20"/>
                <w:color w:val="auto"/>
              </w:rPr>
            </w:pPr>
            <w:r>
              <w:rPr>
                <w:rFonts w:ascii="Arial" w:cs="Arial" w:eastAsia="Arial" w:hAnsi="Arial"/>
                <w:sz w:val="15"/>
                <w:szCs w:val="15"/>
                <w:color w:val="auto"/>
              </w:rPr>
              <w:t>598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40" w:type="dxa"/>
            <w:vAlign w:val="bottom"/>
            <w:vMerge w:val="restart"/>
          </w:tcPr>
          <w:p>
            <w:pPr>
              <w:jc w:val="right"/>
              <w:ind w:right="184"/>
              <w:spacing w:after="0"/>
              <w:rPr>
                <w:sz w:val="20"/>
                <w:szCs w:val="20"/>
                <w:color w:val="auto"/>
              </w:rPr>
            </w:pPr>
            <w:r>
              <w:rPr>
                <w:rFonts w:ascii="Arial" w:cs="Arial" w:eastAsia="Arial" w:hAnsi="Arial"/>
                <w:sz w:val="15"/>
                <w:szCs w:val="15"/>
                <w:color w:val="auto"/>
                <w:w w:val="76"/>
              </w:rPr>
              <w:t>10.</w:t>
            </w:r>
          </w:p>
        </w:tc>
        <w:tc>
          <w:tcPr>
            <w:tcW w:w="4600" w:type="dxa"/>
            <w:vAlign w:val="bottom"/>
            <w:gridSpan w:val="3"/>
            <w:vMerge w:val="restart"/>
          </w:tcPr>
          <w:p>
            <w:pPr>
              <w:spacing w:after="0"/>
              <w:rPr>
                <w:sz w:val="20"/>
                <w:szCs w:val="20"/>
                <w:color w:val="auto"/>
              </w:rPr>
            </w:pPr>
            <w:r>
              <w:rPr>
                <w:rFonts w:ascii="Arial" w:cs="Arial" w:eastAsia="Arial" w:hAnsi="Arial"/>
                <w:sz w:val="15"/>
                <w:szCs w:val="15"/>
                <w:color w:val="auto"/>
              </w:rPr>
              <w:t>Investment in Morion, Inc.</w:t>
            </w:r>
          </w:p>
        </w:tc>
        <w:tc>
          <w:tcPr>
            <w:tcW w:w="18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7"/>
        </w:trPr>
        <w:tc>
          <w:tcPr>
            <w:tcW w:w="440" w:type="dxa"/>
            <w:vAlign w:val="bottom"/>
            <w:vMerge w:val="continue"/>
          </w:tcPr>
          <w:p>
            <w:pPr>
              <w:spacing w:after="0"/>
              <w:rPr>
                <w:sz w:val="24"/>
                <w:szCs w:val="24"/>
                <w:color w:val="auto"/>
              </w:rPr>
            </w:pPr>
          </w:p>
        </w:tc>
        <w:tc>
          <w:tcPr>
            <w:tcW w:w="4600" w:type="dxa"/>
            <w:vAlign w:val="bottom"/>
            <w:gridSpan w:val="3"/>
            <w:vMerge w:val="continue"/>
          </w:tcPr>
          <w:p>
            <w:pPr>
              <w:spacing w:after="0"/>
              <w:rPr>
                <w:sz w:val="24"/>
                <w:szCs w:val="24"/>
                <w:color w:val="auto"/>
              </w:rPr>
            </w:pPr>
          </w:p>
        </w:tc>
        <w:tc>
          <w:tcPr>
            <w:tcW w:w="1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Company has an investment in Morion, Inc., a privately-held Russian company, which manufactures high precision quartz resonators and crystal oscillators. The Company’s investment consists of 4.6% of Morion’s outstanding shares, accordingly, the Company accounts for its investment in Morion on the cost basis. This investment is included in other assets in the accompanying balance sheets.</w:t>
      </w:r>
    </w:p>
    <w:p>
      <w:pPr>
        <w:spacing w:after="0" w:line="30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39" w:name="page40"/>
    <w:bookmarkEnd w:id="39"/>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During the fiscal years ended April 30, 2014 and 2013, the Company acquired product from Morion in the aggregate amount of approximately $213,000 and $54,000, respectively, and the Company sold product to Morion in the aggregate amount of approximately $1,044,000 and $355,000, respectively. At April 30, 2014, accounts receivable included $276,000 due from Morion and $34,000 was payable to Morion.</w:t>
      </w:r>
    </w:p>
    <w:p>
      <w:pPr>
        <w:spacing w:after="0" w:line="177" w:lineRule="exact"/>
        <w:rPr>
          <w:sz w:val="20"/>
          <w:szCs w:val="20"/>
          <w:color w:val="auto"/>
        </w:rPr>
      </w:pPr>
    </w:p>
    <w:p>
      <w:pPr>
        <w:jc w:val="both"/>
        <w:ind w:left="9" w:firstLine="408"/>
        <w:spacing w:after="0" w:line="275" w:lineRule="auto"/>
        <w:rPr>
          <w:sz w:val="20"/>
          <w:szCs w:val="20"/>
          <w:color w:val="auto"/>
        </w:rPr>
      </w:pPr>
      <w:r>
        <w:rPr>
          <w:rFonts w:ascii="Arial" w:cs="Arial" w:eastAsia="Arial" w:hAnsi="Arial"/>
          <w:sz w:val="14"/>
          <w:szCs w:val="14"/>
          <w:color w:val="auto"/>
        </w:rPr>
        <w:t>On October 22, 2012, the Company entered into an agreement with respect to its licensing of rubidium oscillator production technology to Morion. The agreement requires the Company to supply production equipment and parts and to provide training to Morion employees to enable Morion to achieve certain levels of volume production of rubidium oscillators. Morion will pay the Company approximately $2.7 million for the license, the equipment, parts and training, plus 5% royalties on third party sales. For a 5-year period following an initial production run, the Company commits to purchase from Morion a minimum of approximately $400,000 worth of rubidium oscillators per year although Morion is not obligated to sell that amount to the Company. In November 2012, Morion paid the Company a $925,000 deposit under the agreement which amount had been recorded on the Company’s balance sheet as deferred revenue. In October 2013, after amending the original document to clarify certain billing events, the Company invoiced Morion for the equipment, certain component parts for the production of rubidium oscillators, training of certain Morion employees and transfer of the production technology and license to Morion. Accordingly, during the year ended April 30, 2014, the Company recorded revenues of $500,000 for the technology transfer, training and sale of parts and recognized a gain of approximately $736,000 upon the sale of fully-depreciated equipment. The $925,000 deposit previously recorded as deferred revenue is included in these revenues and gain. Additional revenues under the agreement will be recorded after the Company provides further on-site training for Morion personnel, delivers more component parts and obtains relief from certain U.S. Government limitations relating to the sales of items to be manufactured under the license. The United States Department of State has approved the technology transfer called for under the agreement.</w:t>
      </w:r>
    </w:p>
    <w:p>
      <w:pPr>
        <w:spacing w:after="0" w:line="172" w:lineRule="exact"/>
        <w:rPr>
          <w:sz w:val="20"/>
          <w:szCs w:val="20"/>
          <w:color w:val="auto"/>
        </w:rPr>
      </w:pPr>
    </w:p>
    <w:p>
      <w:pPr>
        <w:ind w:left="569" w:hanging="569"/>
        <w:spacing w:after="0"/>
        <w:tabs>
          <w:tab w:leader="none" w:pos="569" w:val="left"/>
        </w:tabs>
        <w:numPr>
          <w:ilvl w:val="0"/>
          <w:numId w:val="13"/>
        </w:numPr>
        <w:rPr>
          <w:rFonts w:ascii="Arial" w:cs="Arial" w:eastAsia="Arial" w:hAnsi="Arial"/>
          <w:sz w:val="15"/>
          <w:szCs w:val="15"/>
          <w:color w:val="auto"/>
        </w:rPr>
      </w:pPr>
      <w:r>
        <w:rPr>
          <w:rFonts w:ascii="Arial" w:cs="Arial" w:eastAsia="Arial" w:hAnsi="Arial"/>
          <w:sz w:val="15"/>
          <w:szCs w:val="15"/>
          <w:u w:val="single" w:color="auto"/>
          <w:color w:val="auto"/>
        </w:rPr>
        <w:t>Goodwill and Other Intangible Assets</w:t>
      </w:r>
    </w:p>
    <w:p>
      <w:pPr>
        <w:spacing w:after="0" w:line="213" w:lineRule="exact"/>
        <w:rPr>
          <w:sz w:val="20"/>
          <w:szCs w:val="20"/>
          <w:color w:val="auto"/>
        </w:rPr>
      </w:pPr>
    </w:p>
    <w:p>
      <w:pPr>
        <w:jc w:val="both"/>
        <w:ind w:left="9" w:firstLine="408"/>
        <w:spacing w:after="0" w:line="261" w:lineRule="auto"/>
        <w:rPr>
          <w:sz w:val="20"/>
          <w:szCs w:val="20"/>
          <w:color w:val="auto"/>
        </w:rPr>
      </w:pPr>
      <w:r>
        <w:rPr>
          <w:rFonts w:ascii="Arial" w:cs="Arial" w:eastAsia="Arial" w:hAnsi="Arial"/>
          <w:sz w:val="15"/>
          <w:szCs w:val="15"/>
          <w:color w:val="auto"/>
        </w:rPr>
        <w:t>During fiscal year 2004, the Company acquired FEI-Zyfer, Inc. (“FEI-Zyfer”). This acquisition resulted in the recording of $218,000 in goodwill. In February 2012, the Company acquired FEI-Elcom resulting in the recording of goodwill in the amount of $398,000 plus other intangible assets with a value of $275,000. Management has determined that goodwill is not impaired as of April 30, 2014 and 2013. The other intangible asset will be amortized over a three-year period from the date of acquisition. Amortization expense for the years ended April 30, 2014 and 2013 was approximately $91,000 each year.</w:t>
      </w:r>
    </w:p>
    <w:p>
      <w:pPr>
        <w:spacing w:after="0" w:line="180" w:lineRule="exact"/>
        <w:rPr>
          <w:sz w:val="20"/>
          <w:szCs w:val="20"/>
          <w:color w:val="auto"/>
        </w:rPr>
      </w:pPr>
    </w:p>
    <w:p>
      <w:pPr>
        <w:ind w:left="569" w:hanging="569"/>
        <w:spacing w:after="0"/>
        <w:tabs>
          <w:tab w:leader="none" w:pos="569" w:val="left"/>
        </w:tabs>
        <w:numPr>
          <w:ilvl w:val="0"/>
          <w:numId w:val="14"/>
        </w:numPr>
        <w:rPr>
          <w:rFonts w:ascii="Arial" w:cs="Arial" w:eastAsia="Arial" w:hAnsi="Arial"/>
          <w:sz w:val="15"/>
          <w:szCs w:val="15"/>
          <w:color w:val="auto"/>
        </w:rPr>
      </w:pPr>
      <w:r>
        <w:rPr>
          <w:rFonts w:ascii="Arial" w:cs="Arial" w:eastAsia="Arial" w:hAnsi="Arial"/>
          <w:sz w:val="15"/>
          <w:szCs w:val="15"/>
          <w:u w:val="single" w:color="auto"/>
          <w:color w:val="auto"/>
        </w:rPr>
        <w:t>Employee Benefit Plans</w:t>
      </w:r>
    </w:p>
    <w:p>
      <w:pPr>
        <w:spacing w:after="0" w:line="209" w:lineRule="exact"/>
        <w:rPr>
          <w:sz w:val="20"/>
          <w:szCs w:val="20"/>
          <w:color w:val="auto"/>
        </w:rPr>
      </w:pPr>
    </w:p>
    <w:p>
      <w:pPr>
        <w:ind w:left="9"/>
        <w:spacing w:after="0"/>
        <w:rPr>
          <w:sz w:val="20"/>
          <w:szCs w:val="20"/>
          <w:color w:val="auto"/>
        </w:rPr>
      </w:pPr>
      <w:r>
        <w:rPr>
          <w:rFonts w:ascii="Arial" w:cs="Arial" w:eastAsia="Arial" w:hAnsi="Arial"/>
          <w:sz w:val="15"/>
          <w:szCs w:val="15"/>
          <w:b w:val="1"/>
          <w:bCs w:val="1"/>
          <w:color w:val="auto"/>
        </w:rPr>
        <w:t>Profit Sharing Plan:</w:t>
      </w:r>
    </w:p>
    <w:p>
      <w:pPr>
        <w:spacing w:after="0" w:line="217" w:lineRule="exact"/>
        <w:rPr>
          <w:sz w:val="20"/>
          <w:szCs w:val="20"/>
          <w:color w:val="auto"/>
        </w:rPr>
      </w:pPr>
    </w:p>
    <w:p>
      <w:pPr>
        <w:jc w:val="both"/>
        <w:ind w:left="9" w:firstLine="408"/>
        <w:spacing w:after="0" w:line="277" w:lineRule="auto"/>
        <w:rPr>
          <w:sz w:val="20"/>
          <w:szCs w:val="20"/>
          <w:color w:val="auto"/>
        </w:rPr>
      </w:pPr>
      <w:r>
        <w:rPr>
          <w:rFonts w:ascii="Arial" w:cs="Arial" w:eastAsia="Arial" w:hAnsi="Arial"/>
          <w:sz w:val="14"/>
          <w:szCs w:val="14"/>
          <w:color w:val="auto"/>
        </w:rPr>
        <w:t>The Company provides its U.S.-based employees with a profit sharing plan and trust under section 401(k) of the Internal Revenue Code. This plan allows all eligible employees to defer a portion of their income through voluntary contributions to the plan. In accordance with the provisions of the plan, the Company can make discretionary matching contributions in the form of cash or common stock. For the years ended April 30, 2014 and 2013, the Company contributed 41,775 and 52,715 shares of common stock, respectively. The approximate value of these shares at the date of contribution was $466,000 in fiscal year 2014 and $456,000 in fiscal year 2013. Contributed shares are drawn from the Company’s common stock held in treasury and are removed at the Company’s original cost of acquisition of such shares on a specific identification basis. In addition to changes in the treasury stock accounts, during fiscal years 2014 and 2013, such transactions increased additional paid in capital by $277,000 and $214,000, respectively. As of April 30, 2014, the profit sharing plan holds an aggregate of 464,652 shares of the Company’s common stock allocated to the accounts of the individual participants.</w:t>
      </w:r>
    </w:p>
    <w:p>
      <w:pPr>
        <w:spacing w:after="0" w:line="299"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40" w:name="page41"/>
    <w:bookmarkEnd w:id="4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Incentive Pool:</w:t>
      </w:r>
    </w:p>
    <w:p>
      <w:pPr>
        <w:spacing w:after="0" w:line="217" w:lineRule="exact"/>
        <w:rPr>
          <w:sz w:val="20"/>
          <w:szCs w:val="20"/>
          <w:color w:val="auto"/>
        </w:rPr>
      </w:pPr>
    </w:p>
    <w:p>
      <w:pPr>
        <w:jc w:val="both"/>
        <w:ind w:firstLine="408"/>
        <w:spacing w:after="0" w:line="292" w:lineRule="auto"/>
        <w:rPr>
          <w:sz w:val="20"/>
          <w:szCs w:val="20"/>
          <w:color w:val="auto"/>
        </w:rPr>
      </w:pPr>
      <w:r>
        <w:rPr>
          <w:rFonts w:ascii="Arial" w:cs="Arial" w:eastAsia="Arial" w:hAnsi="Arial"/>
          <w:sz w:val="14"/>
          <w:szCs w:val="14"/>
          <w:color w:val="auto"/>
        </w:rPr>
        <w:t>The Company maintains incentive bonus programs for certain employees which are based on operating profits of the individual subsidiaries to which the employees are assigned. The Company also adopted a plan for the President and Chief Executive Officer of the Company, which formula is based on consolidated pre-tax profits. The Company charged approximately $1.3 million and $1.6 million to selling and administrative expenses under these plans for the fiscal years ended April 30, 2014 and 2013,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Stock Plans</w:t>
      </w:r>
      <w:r>
        <w:rPr>
          <w:rFonts w:ascii="Arial" w:cs="Arial" w:eastAsia="Arial" w:hAnsi="Arial"/>
          <w:sz w:val="15"/>
          <w:szCs w:val="15"/>
          <w:color w:val="auto"/>
        </w:rPr>
        <w:t>:</w:t>
      </w:r>
    </w:p>
    <w:p>
      <w:pPr>
        <w:spacing w:after="0" w:line="217"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Company has various stock plans, some of which have been approved by the Company’s stockholders, for key management employees, including officers and directors who are employees, certain consultants and independent members of the Board of Directors. The plans are Nonqualified Stock Options (“NQSO”) plans, Incentive Stock Option ("ISO”) plans and Stock Appreciation Rights (“SARS”). Under these plans, options or SARS are granted at the discretion of the Stock Option Committee at an exercise price not less than the fair market value of the Company's common stock on the date of grant.</w:t>
      </w:r>
    </w:p>
    <w:p>
      <w:pPr>
        <w:spacing w:after="0" w:line="180" w:lineRule="exact"/>
        <w:rPr>
          <w:sz w:val="20"/>
          <w:szCs w:val="20"/>
          <w:color w:val="auto"/>
        </w:rPr>
      </w:pPr>
    </w:p>
    <w:p>
      <w:pPr>
        <w:jc w:val="both"/>
        <w:ind w:firstLine="408"/>
        <w:spacing w:after="0" w:line="295" w:lineRule="auto"/>
        <w:rPr>
          <w:sz w:val="20"/>
          <w:szCs w:val="20"/>
          <w:color w:val="auto"/>
        </w:rPr>
      </w:pPr>
      <w:r>
        <w:rPr>
          <w:rFonts w:ascii="Arial" w:cs="Arial" w:eastAsia="Arial" w:hAnsi="Arial"/>
          <w:sz w:val="13"/>
          <w:szCs w:val="13"/>
          <w:color w:val="auto"/>
        </w:rPr>
        <w:t>Typically, options and SARS vest over a four-year period from the date of grant. The options and SARS expire ten years after the date of grant and are subject to certain restrictions on transferability of the shares obtained on exercise. As of April 30, 2012, a consultant, who is the son of the Company’s president, had been granted options to purchase 56,625 shares of Company stock under NQSO plans at a weighted average exercise price of $5.60. During the years ended April 30, 2014 and 2013, the consultant elected cashless exercises of 17,500 shares at an exercise price of $6.67 (resulting in a net issuance of 7,276 shares) and 19,125 shares at an exercise price of $3.50 per share (resulting in a net issuance of 11,011 shares), respectively. The remaining 20,000 options are outstanding and exercisable at an exercise price of $6.67. The options expire one year after the termination of the consulting agreement which has no expiration date. As of April 30, 2014, eligible employees had been granted options to purchase approximately 172,500 shares of Company stock under ISO plans, of which approximately 95,000 options with a weighted average exercise price of $13.15 are both outstanding and exercisable. The Company provides option holders the opportunity to exercise stock options either by paying the exercise price for the shares or to do a cashless exercise whereby the individual receives the net number of shares of stock equal in value to the exercised number of shares times the difference between the current market value of the Company’s stock and the exercise price. During the year ended April 30, 2014, employees exercised ISOs for 77,500 shares of Company stock choosing to do so in cashless exercises. Such cashless exercises of stock options under ISO and NQSO plans, including the consultant shares above, aggregated 95,000 shares. Accordingly, the Company issued 14,828 shares on exercise and returned 80,172 shares to the pool of available shares which may be used for future grants. As of April 30, 2014, eligible employees and directors have been granted SARS based on approximately 1,711,000 shares of Company stock, of which approximately 1,608,000 shares are outstanding and approximately 1,028,000 shares with a weighted average exercise price of $8.01 are exercisable. When the SARS become exercisable, the Company will settle the SARS by issuing to exercising recipients the number of shares of stock equal to the appreciated value of the Company’s stock between the grant date and exercise date. At the time of exercise, the quantity of shares under the SARS grant equal to the exercise value divided by the then market value of the shares will be returned to the pool of available shares for future grant under the Company’s stock plan. During the year ended April 30, 2014, employees exercised SARS representing 101,000 shares of Company stock and received 50,556 shares of Company stock. The 50,444 share difference was returned to the pool of available shares and may be used for future grants.</w:t>
      </w:r>
    </w:p>
    <w:p>
      <w:pPr>
        <w:spacing w:after="0" w:line="350"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excess of the consideration received over the par value of the common stock or cost of treasury stock issued under both types of option plans is recognized as an increase in additional paid-in capital.</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1" w:name="page42"/>
    <w:bookmarkEnd w:id="4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summarizes information about stock option activity for the years ended April 30:</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5740" w:type="dxa"/>
            <w:vAlign w:val="bottom"/>
          </w:tcPr>
          <w:p>
            <w:pPr>
              <w:spacing w:after="0"/>
              <w:rPr>
                <w:sz w:val="17"/>
                <w:szCs w:val="17"/>
                <w:color w:val="auto"/>
              </w:rPr>
            </w:pPr>
          </w:p>
        </w:tc>
        <w:tc>
          <w:tcPr>
            <w:tcW w:w="138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gridSpan w:val="6"/>
          </w:tcPr>
          <w:p>
            <w:pPr>
              <w:spacing w:after="0"/>
              <w:rPr>
                <w:sz w:val="20"/>
                <w:szCs w:val="20"/>
                <w:color w:val="auto"/>
              </w:rPr>
            </w:pPr>
            <w:r>
              <w:rPr>
                <w:rFonts w:ascii="Arial" w:cs="Arial" w:eastAsia="Arial" w:hAnsi="Arial"/>
                <w:sz w:val="15"/>
                <w:szCs w:val="15"/>
                <w:b w:val="1"/>
                <w:bCs w:val="1"/>
                <w:color w:val="auto"/>
                <w:w w:val="90"/>
              </w:rPr>
              <w:t>Stock Options and Stock Appreciation Rights</w:t>
            </w:r>
          </w:p>
        </w:tc>
        <w:tc>
          <w:tcPr>
            <w:tcW w:w="1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57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spacing w:after="0" w:line="167" w:lineRule="exact"/>
              <w:rPr>
                <w:sz w:val="20"/>
                <w:szCs w:val="20"/>
                <w:color w:val="auto"/>
              </w:rPr>
            </w:pPr>
            <w:r>
              <w:rPr>
                <w:rFonts w:ascii="Arial" w:cs="Arial" w:eastAsia="Arial" w:hAnsi="Arial"/>
                <w:sz w:val="15"/>
                <w:szCs w:val="15"/>
                <w:b w:val="1"/>
                <w:bCs w:val="1"/>
                <w:color w:val="auto"/>
                <w:w w:val="90"/>
              </w:rPr>
              <w:t>Weighted Average</w:t>
            </w: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244"/>
              <w:spacing w:after="0"/>
              <w:rPr>
                <w:sz w:val="20"/>
                <w:szCs w:val="20"/>
                <w:color w:val="auto"/>
              </w:rPr>
            </w:pPr>
            <w:r>
              <w:rPr>
                <w:rFonts w:ascii="Arial" w:cs="Arial" w:eastAsia="Arial" w:hAnsi="Arial"/>
                <w:sz w:val="15"/>
                <w:szCs w:val="15"/>
                <w:b w:val="1"/>
                <w:bCs w:val="1"/>
                <w:color w:val="auto"/>
                <w:w w:val="90"/>
              </w:rPr>
              <w:t>Weighted-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1"/>
              </w:rPr>
              <w:t>Remaining</w:t>
            </w: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center"/>
              <w:ind w:left="264"/>
              <w:spacing w:after="0"/>
              <w:rPr>
                <w:sz w:val="20"/>
                <w:szCs w:val="20"/>
                <w:color w:val="auto"/>
              </w:rPr>
            </w:pPr>
            <w:r>
              <w:rPr>
                <w:rFonts w:ascii="Arial" w:cs="Arial" w:eastAsia="Arial" w:hAnsi="Arial"/>
                <w:sz w:val="15"/>
                <w:szCs w:val="15"/>
                <w:b w:val="1"/>
                <w:bCs w:val="1"/>
                <w:color w:val="auto"/>
                <w:w w:val="87"/>
              </w:rPr>
              <w:t>Average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rPr>
                <w:sz w:val="20"/>
                <w:szCs w:val="20"/>
                <w:color w:val="auto"/>
              </w:rPr>
            </w:pPr>
            <w:r>
              <w:rPr>
                <w:rFonts w:ascii="Arial" w:cs="Arial" w:eastAsia="Arial" w:hAnsi="Arial"/>
                <w:sz w:val="15"/>
                <w:szCs w:val="15"/>
                <w:b w:val="1"/>
                <w:bCs w:val="1"/>
                <w:color w:val="auto"/>
                <w:w w:val="93"/>
              </w:rPr>
              <w:t>Contractual</w:t>
            </w:r>
          </w:p>
        </w:tc>
        <w:tc>
          <w:tcPr>
            <w:tcW w:w="100" w:type="dxa"/>
            <w:vAlign w:val="bottom"/>
          </w:tcPr>
          <w:p>
            <w:pPr>
              <w:spacing w:after="0"/>
              <w:rPr>
                <w:sz w:val="15"/>
                <w:szCs w:val="15"/>
                <w:color w:val="auto"/>
              </w:rPr>
            </w:pPr>
          </w:p>
        </w:tc>
        <w:tc>
          <w:tcPr>
            <w:tcW w:w="1280" w:type="dxa"/>
            <w:vAlign w:val="bottom"/>
            <w:gridSpan w:val="2"/>
          </w:tcPr>
          <w:p>
            <w:pPr>
              <w:ind w:left="300"/>
              <w:spacing w:after="0"/>
              <w:rPr>
                <w:sz w:val="20"/>
                <w:szCs w:val="20"/>
                <w:color w:val="auto"/>
              </w:rPr>
            </w:pPr>
            <w:r>
              <w:rPr>
                <w:rFonts w:ascii="Arial" w:cs="Arial" w:eastAsia="Arial" w:hAnsi="Arial"/>
                <w:sz w:val="15"/>
                <w:szCs w:val="15"/>
                <w:b w:val="1"/>
                <w:bCs w:val="1"/>
                <w:color w:val="auto"/>
              </w:rPr>
              <w:t>Aggregate</w:t>
            </w:r>
          </w:p>
        </w:tc>
        <w:tc>
          <w:tcPr>
            <w:tcW w:w="0" w:type="dxa"/>
            <w:vAlign w:val="bottom"/>
          </w:tcPr>
          <w:p>
            <w:pPr>
              <w:spacing w:after="0"/>
              <w:rPr>
                <w:sz w:val="1"/>
                <w:szCs w:val="1"/>
                <w:color w:val="auto"/>
              </w:rPr>
            </w:pPr>
          </w:p>
        </w:tc>
      </w:tr>
      <w:tr>
        <w:trPr>
          <w:trHeight w:val="199"/>
        </w:trPr>
        <w:tc>
          <w:tcPr>
            <w:tcW w:w="5740" w:type="dxa"/>
            <w:vAlign w:val="bottom"/>
          </w:tcPr>
          <w:p>
            <w:pPr>
              <w:spacing w:after="0"/>
              <w:rPr>
                <w:sz w:val="17"/>
                <w:szCs w:val="17"/>
                <w:color w:val="auto"/>
              </w:rPr>
            </w:pPr>
          </w:p>
        </w:tc>
        <w:tc>
          <w:tcPr>
            <w:tcW w:w="1380" w:type="dxa"/>
            <w:vAlign w:val="bottom"/>
            <w:tcBorders>
              <w:bottom w:val="single" w:sz="8" w:color="auto"/>
            </w:tcBorders>
          </w:tcPr>
          <w:p>
            <w:pPr>
              <w:jc w:val="right"/>
              <w:ind w:right="404"/>
              <w:spacing w:after="0"/>
              <w:rPr>
                <w:sz w:val="20"/>
                <w:szCs w:val="20"/>
                <w:color w:val="auto"/>
              </w:rPr>
            </w:pPr>
            <w:r>
              <w:rPr>
                <w:rFonts w:ascii="Arial" w:cs="Arial" w:eastAsia="Arial" w:hAnsi="Arial"/>
                <w:sz w:val="15"/>
                <w:szCs w:val="15"/>
                <w:b w:val="1"/>
                <w:bCs w:val="1"/>
                <w:color w:val="auto"/>
              </w:rPr>
              <w:t>Shares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w w:val="89"/>
              </w:rPr>
              <w:t>Exercise Price</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Term</w:t>
            </w:r>
          </w:p>
        </w:tc>
        <w:tc>
          <w:tcPr>
            <w:tcW w:w="100" w:type="dxa"/>
            <w:vAlign w:val="bottom"/>
          </w:tcPr>
          <w:p>
            <w:pPr>
              <w:spacing w:after="0"/>
              <w:rPr>
                <w:sz w:val="17"/>
                <w:szCs w:val="17"/>
                <w:color w:val="auto"/>
              </w:rPr>
            </w:pPr>
          </w:p>
        </w:tc>
        <w:tc>
          <w:tcPr>
            <w:tcW w:w="1260" w:type="dxa"/>
            <w:vAlign w:val="bottom"/>
            <w:tcBorders>
              <w:bottom w:val="single" w:sz="8" w:color="auto"/>
            </w:tcBorders>
          </w:tcPr>
          <w:p>
            <w:pPr>
              <w:jc w:val="right"/>
              <w:ind w:right="64"/>
              <w:spacing w:after="0"/>
              <w:rPr>
                <w:sz w:val="20"/>
                <w:szCs w:val="20"/>
                <w:color w:val="auto"/>
              </w:rPr>
            </w:pPr>
            <w:r>
              <w:rPr>
                <w:rFonts w:ascii="Arial" w:cs="Arial" w:eastAsia="Arial" w:hAnsi="Arial"/>
                <w:sz w:val="15"/>
                <w:szCs w:val="15"/>
                <w:b w:val="1"/>
                <w:bCs w:val="1"/>
                <w:color w:val="auto"/>
              </w:rPr>
              <w:t>Intrinsic Value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Outstanding – April 30, 2012</w:t>
            </w: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1,629,700</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7.95</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6.4 years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rPr>
                <w:sz w:val="20"/>
                <w:szCs w:val="20"/>
                <w:color w:val="auto"/>
              </w:rPr>
            </w:pPr>
            <w:r>
              <w:rPr>
                <w:rFonts w:ascii="Arial" w:cs="Arial" w:eastAsia="Arial" w:hAnsi="Arial"/>
                <w:sz w:val="15"/>
                <w:szCs w:val="15"/>
                <w:color w:val="auto"/>
              </w:rPr>
              <w:t>Granted</w:t>
            </w:r>
          </w:p>
        </w:tc>
        <w:tc>
          <w:tcPr>
            <w:tcW w:w="1380" w:type="dxa"/>
            <w:vAlign w:val="bottom"/>
          </w:tcPr>
          <w:p>
            <w:pPr>
              <w:jc w:val="right"/>
              <w:spacing w:after="0"/>
              <w:rPr>
                <w:sz w:val="20"/>
                <w:szCs w:val="20"/>
                <w:color w:val="auto"/>
              </w:rPr>
            </w:pPr>
            <w:r>
              <w:rPr>
                <w:rFonts w:ascii="Arial" w:cs="Arial" w:eastAsia="Arial" w:hAnsi="Arial"/>
                <w:sz w:val="15"/>
                <w:szCs w:val="15"/>
                <w:color w:val="auto"/>
              </w:rPr>
              <w:t>209,000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8.82</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52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(113,075)</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5.63</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20"/>
                <w:szCs w:val="20"/>
                <w:color w:val="auto"/>
              </w:rPr>
            </w:pPr>
            <w:r>
              <w:rPr>
                <w:rFonts w:ascii="Arial" w:cs="Arial" w:eastAsia="Arial" w:hAnsi="Arial"/>
                <w:sz w:val="15"/>
                <w:szCs w:val="15"/>
                <w:color w:val="auto"/>
              </w:rPr>
              <w:t>Expired or Canceled</w:t>
            </w:r>
          </w:p>
        </w:tc>
        <w:tc>
          <w:tcPr>
            <w:tcW w:w="1520" w:type="dxa"/>
            <w:vAlign w:val="bottom"/>
            <w:gridSpan w:val="2"/>
          </w:tcPr>
          <w:p>
            <w:pPr>
              <w:jc w:val="right"/>
              <w:ind w:right="24"/>
              <w:spacing w:after="0"/>
              <w:rPr>
                <w:sz w:val="20"/>
                <w:szCs w:val="20"/>
                <w:color w:val="auto"/>
              </w:rPr>
            </w:pPr>
            <w:r>
              <w:rPr>
                <w:rFonts w:ascii="Arial" w:cs="Arial" w:eastAsia="Arial" w:hAnsi="Arial"/>
                <w:sz w:val="15"/>
                <w:szCs w:val="15"/>
                <w:color w:val="auto"/>
              </w:rPr>
              <w:t>(17,000)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rPr>
              <w:t>5.16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Outstanding – April 30, 2013</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1,708,625</w:t>
            </w:r>
          </w:p>
        </w:tc>
        <w:tc>
          <w:tcPr>
            <w:tcW w:w="14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8.23</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6.1 years</w:t>
            </w: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tcPr>
          <w:p>
            <w:pPr>
              <w:spacing w:after="0"/>
              <w:rPr>
                <w:sz w:val="20"/>
                <w:szCs w:val="20"/>
                <w:color w:val="auto"/>
              </w:rPr>
            </w:pPr>
            <w:r>
              <w:rPr>
                <w:rFonts w:ascii="Arial" w:cs="Arial" w:eastAsia="Arial" w:hAnsi="Arial"/>
                <w:sz w:val="15"/>
                <w:szCs w:val="15"/>
                <w:color w:val="auto"/>
              </w:rPr>
              <w:t>Granted</w:t>
            </w:r>
          </w:p>
        </w:tc>
        <w:tc>
          <w:tcPr>
            <w:tcW w:w="1380" w:type="dxa"/>
            <w:vAlign w:val="bottom"/>
          </w:tcPr>
          <w:p>
            <w:pPr>
              <w:jc w:val="right"/>
              <w:spacing w:after="0"/>
              <w:rPr>
                <w:sz w:val="20"/>
                <w:szCs w:val="20"/>
                <w:color w:val="auto"/>
              </w:rPr>
            </w:pPr>
            <w:r>
              <w:rPr>
                <w:rFonts w:ascii="Arial" w:cs="Arial" w:eastAsia="Arial" w:hAnsi="Arial"/>
                <w:sz w:val="15"/>
                <w:szCs w:val="15"/>
                <w:color w:val="auto"/>
              </w:rPr>
              <w:t>212,000</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10.30</w:t>
            </w: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1520" w:type="dxa"/>
            <w:vAlign w:val="bottom"/>
            <w:gridSpan w:val="2"/>
            <w:shd w:val="clear" w:color="auto" w:fill="CCEEFF"/>
          </w:tcPr>
          <w:p>
            <w:pPr>
              <w:jc w:val="right"/>
              <w:ind w:right="24"/>
              <w:spacing w:after="0"/>
              <w:rPr>
                <w:sz w:val="20"/>
                <w:szCs w:val="20"/>
                <w:color w:val="auto"/>
              </w:rPr>
            </w:pPr>
            <w:r>
              <w:rPr>
                <w:rFonts w:ascii="Arial" w:cs="Arial" w:eastAsia="Arial" w:hAnsi="Arial"/>
                <w:sz w:val="15"/>
                <w:szCs w:val="15"/>
                <w:color w:val="auto"/>
              </w:rPr>
              <w:t>(196,000)</w:t>
            </w: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7.16</w:t>
            </w: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5740" w:type="dxa"/>
            <w:vAlign w:val="bottom"/>
          </w:tcPr>
          <w:p>
            <w:pPr>
              <w:spacing w:after="0"/>
              <w:rPr>
                <w:sz w:val="20"/>
                <w:szCs w:val="20"/>
                <w:color w:val="auto"/>
              </w:rPr>
            </w:pPr>
            <w:r>
              <w:rPr>
                <w:rFonts w:ascii="Arial" w:cs="Arial" w:eastAsia="Arial" w:hAnsi="Arial"/>
                <w:sz w:val="15"/>
                <w:szCs w:val="15"/>
                <w:color w:val="auto"/>
              </w:rPr>
              <w:t>Expired or Canceled</w:t>
            </w:r>
          </w:p>
        </w:tc>
        <w:tc>
          <w:tcPr>
            <w:tcW w:w="1520" w:type="dxa"/>
            <w:vAlign w:val="bottom"/>
            <w:gridSpan w:val="2"/>
          </w:tcPr>
          <w:p>
            <w:pPr>
              <w:jc w:val="right"/>
              <w:ind w:right="24"/>
              <w:spacing w:after="0"/>
              <w:rPr>
                <w:sz w:val="20"/>
                <w:szCs w:val="20"/>
                <w:color w:val="auto"/>
              </w:rPr>
            </w:pPr>
            <w:r>
              <w:rPr>
                <w:rFonts w:ascii="Arial" w:cs="Arial" w:eastAsia="Arial" w:hAnsi="Arial"/>
                <w:sz w:val="15"/>
                <w:szCs w:val="15"/>
                <w:color w:val="auto"/>
              </w:rPr>
              <w:t>(2,000)</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5"/>
                <w:szCs w:val="15"/>
                <w:color w:val="auto"/>
                <w:w w:val="85"/>
              </w:rPr>
              <w:t>10.06</w:t>
            </w: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5740" w:type="dxa"/>
            <w:vAlign w:val="bottom"/>
            <w:shd w:val="clear" w:color="auto" w:fill="CCEEFF"/>
          </w:tcPr>
          <w:p>
            <w:pPr>
              <w:spacing w:after="0"/>
              <w:rPr>
                <w:sz w:val="20"/>
                <w:szCs w:val="20"/>
                <w:color w:val="auto"/>
              </w:rPr>
            </w:pPr>
            <w:r>
              <w:rPr>
                <w:rFonts w:ascii="Arial" w:cs="Arial" w:eastAsia="Arial" w:hAnsi="Arial"/>
                <w:sz w:val="15"/>
                <w:szCs w:val="15"/>
                <w:color w:val="auto"/>
              </w:rPr>
              <w:t>Outstanding – April 30, 2014</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1,722,625</w:t>
            </w:r>
          </w:p>
        </w:tc>
        <w:tc>
          <w:tcPr>
            <w:tcW w:w="1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84"/>
              <w:spacing w:after="0"/>
              <w:rPr>
                <w:sz w:val="20"/>
                <w:szCs w:val="20"/>
                <w:color w:val="auto"/>
              </w:rPr>
            </w:pPr>
            <w:r>
              <w:rPr>
                <w:rFonts w:ascii="Arial" w:cs="Arial" w:eastAsia="Arial" w:hAnsi="Arial"/>
                <w:sz w:val="15"/>
                <w:szCs w:val="15"/>
                <w:color w:val="auto"/>
              </w:rPr>
              <w:t>$</w:t>
            </w:r>
          </w:p>
        </w:tc>
        <w:tc>
          <w:tcPr>
            <w:tcW w:w="44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8.60</w:t>
            </w:r>
          </w:p>
        </w:tc>
        <w:tc>
          <w:tcPr>
            <w:tcW w:w="12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87"/>
              </w:rPr>
              <w:t>6.0 years</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$3,913,368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740" w:type="dxa"/>
            <w:vAlign w:val="bottom"/>
          </w:tcPr>
          <w:p>
            <w:pPr>
              <w:spacing w:after="0" w:line="167" w:lineRule="exact"/>
              <w:rPr>
                <w:sz w:val="20"/>
                <w:szCs w:val="20"/>
                <w:color w:val="auto"/>
              </w:rPr>
            </w:pPr>
            <w:r>
              <w:rPr>
                <w:rFonts w:ascii="Arial" w:cs="Arial" w:eastAsia="Arial" w:hAnsi="Arial"/>
                <w:sz w:val="15"/>
                <w:szCs w:val="15"/>
                <w:color w:val="auto"/>
              </w:rPr>
              <w:t>Exercisable</w:t>
            </w:r>
          </w:p>
        </w:tc>
        <w:tc>
          <w:tcPr>
            <w:tcW w:w="1380" w:type="dxa"/>
            <w:vAlign w:val="bottom"/>
          </w:tcPr>
          <w:p>
            <w:pPr>
              <w:jc w:val="right"/>
              <w:spacing w:after="0" w:line="167" w:lineRule="exact"/>
              <w:rPr>
                <w:sz w:val="20"/>
                <w:szCs w:val="20"/>
                <w:color w:val="auto"/>
              </w:rPr>
            </w:pPr>
            <w:r>
              <w:rPr>
                <w:rFonts w:ascii="Arial" w:cs="Arial" w:eastAsia="Arial" w:hAnsi="Arial"/>
                <w:sz w:val="15"/>
                <w:szCs w:val="15"/>
                <w:color w:val="auto"/>
              </w:rPr>
              <w:t>1,142,750</w:t>
            </w:r>
          </w:p>
        </w:tc>
        <w:tc>
          <w:tcPr>
            <w:tcW w:w="140" w:type="dxa"/>
            <w:vAlign w:val="bottom"/>
          </w:tcPr>
          <w:p>
            <w:pPr>
              <w:spacing w:after="0"/>
              <w:rPr>
                <w:sz w:val="14"/>
                <w:szCs w:val="14"/>
                <w:color w:val="auto"/>
              </w:rPr>
            </w:pPr>
          </w:p>
        </w:tc>
        <w:tc>
          <w:tcPr>
            <w:tcW w:w="1120" w:type="dxa"/>
            <w:vAlign w:val="bottom"/>
            <w:gridSpan w:val="2"/>
          </w:tcPr>
          <w:p>
            <w:pPr>
              <w:jc w:val="right"/>
              <w:ind w:right="884"/>
              <w:spacing w:after="0" w:line="167" w:lineRule="exact"/>
              <w:rPr>
                <w:sz w:val="20"/>
                <w:szCs w:val="20"/>
                <w:color w:val="auto"/>
              </w:rPr>
            </w:pPr>
            <w:r>
              <w:rPr>
                <w:rFonts w:ascii="Arial" w:cs="Arial" w:eastAsia="Arial" w:hAnsi="Arial"/>
                <w:sz w:val="15"/>
                <w:szCs w:val="15"/>
                <w:color w:val="auto"/>
              </w:rPr>
              <w:t>$</w:t>
            </w:r>
          </w:p>
        </w:tc>
        <w:tc>
          <w:tcPr>
            <w:tcW w:w="440" w:type="dxa"/>
            <w:vAlign w:val="bottom"/>
            <w:gridSpan w:val="2"/>
          </w:tcPr>
          <w:p>
            <w:pPr>
              <w:jc w:val="right"/>
              <w:ind w:right="100"/>
              <w:spacing w:after="0" w:line="167" w:lineRule="exact"/>
              <w:rPr>
                <w:sz w:val="20"/>
                <w:szCs w:val="20"/>
                <w:color w:val="auto"/>
              </w:rPr>
            </w:pPr>
            <w:r>
              <w:rPr>
                <w:rFonts w:ascii="Arial" w:cs="Arial" w:eastAsia="Arial" w:hAnsi="Arial"/>
                <w:sz w:val="15"/>
                <w:szCs w:val="15"/>
                <w:color w:val="auto"/>
              </w:rPr>
              <w:t>8.42</w:t>
            </w:r>
          </w:p>
        </w:tc>
        <w:tc>
          <w:tcPr>
            <w:tcW w:w="1260" w:type="dxa"/>
            <w:vAlign w:val="bottom"/>
          </w:tcPr>
          <w:p>
            <w:pPr>
              <w:jc w:val="center"/>
              <w:spacing w:after="0" w:line="167" w:lineRule="exact"/>
              <w:rPr>
                <w:sz w:val="20"/>
                <w:szCs w:val="20"/>
                <w:color w:val="auto"/>
              </w:rPr>
            </w:pPr>
            <w:r>
              <w:rPr>
                <w:rFonts w:ascii="Arial" w:cs="Arial" w:eastAsia="Arial" w:hAnsi="Arial"/>
                <w:sz w:val="15"/>
                <w:szCs w:val="15"/>
                <w:color w:val="auto"/>
                <w:w w:val="87"/>
              </w:rPr>
              <w:t>4.8 years</w:t>
            </w:r>
          </w:p>
        </w:tc>
        <w:tc>
          <w:tcPr>
            <w:tcW w:w="1360" w:type="dxa"/>
            <w:vAlign w:val="bottom"/>
            <w:gridSpan w:val="2"/>
          </w:tcPr>
          <w:p>
            <w:pPr>
              <w:jc w:val="right"/>
              <w:spacing w:after="0" w:line="167" w:lineRule="exact"/>
              <w:rPr>
                <w:sz w:val="20"/>
                <w:szCs w:val="20"/>
                <w:color w:val="auto"/>
              </w:rPr>
            </w:pPr>
            <w:r>
              <w:rPr>
                <w:rFonts w:ascii="Arial" w:cs="Arial" w:eastAsia="Arial" w:hAnsi="Arial"/>
                <w:sz w:val="15"/>
                <w:szCs w:val="15"/>
                <w:color w:val="auto"/>
              </w:rPr>
              <w:t>$2,964,498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740" w:type="dxa"/>
            <w:vAlign w:val="bottom"/>
            <w:tcBorders>
              <w:bottom w:val="single" w:sz="8" w:color="CCEEFF"/>
            </w:tcBorders>
            <w:shd w:val="clear" w:color="auto" w:fill="CCEEFF"/>
          </w:tcPr>
          <w:p>
            <w:pPr>
              <w:spacing w:after="0" w:line="167" w:lineRule="exact"/>
              <w:rPr>
                <w:sz w:val="20"/>
                <w:szCs w:val="20"/>
                <w:color w:val="auto"/>
              </w:rPr>
            </w:pPr>
            <w:r>
              <w:rPr>
                <w:rFonts w:ascii="Arial" w:cs="Arial" w:eastAsia="Arial" w:hAnsi="Arial"/>
                <w:sz w:val="15"/>
                <w:szCs w:val="15"/>
                <w:color w:val="auto"/>
              </w:rPr>
              <w:t>Available for future grants</w:t>
            </w:r>
          </w:p>
        </w:tc>
        <w:tc>
          <w:tcPr>
            <w:tcW w:w="1380" w:type="dxa"/>
            <w:vAlign w:val="bottom"/>
            <w:tcBorders>
              <w:bottom w:val="single" w:sz="8" w:color="auto"/>
            </w:tcBorders>
            <w:shd w:val="clear" w:color="auto" w:fill="CCEEFF"/>
          </w:tcPr>
          <w:p>
            <w:pPr>
              <w:jc w:val="right"/>
              <w:spacing w:after="0" w:line="167" w:lineRule="exact"/>
              <w:rPr>
                <w:sz w:val="20"/>
                <w:szCs w:val="20"/>
                <w:color w:val="auto"/>
              </w:rPr>
            </w:pPr>
            <w:r>
              <w:rPr>
                <w:rFonts w:ascii="Arial" w:cs="Arial" w:eastAsia="Arial" w:hAnsi="Arial"/>
                <w:sz w:val="15"/>
                <w:szCs w:val="15"/>
                <w:color w:val="auto"/>
              </w:rPr>
              <w:t>6,816</w:t>
            </w:r>
          </w:p>
        </w:tc>
        <w:tc>
          <w:tcPr>
            <w:tcW w:w="1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As of April 30, 2014, total unrecognized compensation cost related to nonvested options and stock appreciation rights under the plans was approximately $2,016,000. These costs are expected to be recognized over a weighted average period of 2.5 years.</w:t>
      </w:r>
    </w:p>
    <w:p>
      <w:pPr>
        <w:spacing w:after="0" w:line="169"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During the years ended April 30, 2014 and 2013, 268,875 and 254,813 shares, respectively, vested, the fair value of which was approximately $993,000 and $847,000, respectively. The weighted average grant date fair value of stock appreciation rights granted during the years ended April 30, 2014 and 2013, were approximately $4.57 and $4.16, respectively.</w:t>
      </w:r>
    </w:p>
    <w:p>
      <w:pPr>
        <w:spacing w:after="0" w:line="177"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Stock-based compensation costs capitalized as part of work in process inventory or included in the cost of sales of programs on which the Company recognizes revenue under the percentage of completion method were approximately $426,000 and $410,000 for the years ended April 30, 2014 and 2013, respectively. Selling and administrative expenses include stock-based compensation expense of approximately $676,000 and $537,000 for the years ended April 30, 2014 and 2013, respectively.</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2" w:name="page43"/>
    <w:bookmarkEnd w:id="42"/>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right="20" w:firstLine="408"/>
        <w:spacing w:after="0" w:line="314" w:lineRule="auto"/>
        <w:rPr>
          <w:sz w:val="20"/>
          <w:szCs w:val="20"/>
          <w:color w:val="auto"/>
        </w:rPr>
      </w:pPr>
      <w:r>
        <w:rPr>
          <w:rFonts w:ascii="Arial" w:cs="Arial" w:eastAsia="Arial" w:hAnsi="Arial"/>
          <w:sz w:val="14"/>
          <w:szCs w:val="14"/>
          <w:color w:val="auto"/>
        </w:rPr>
        <w:t>The Company classifies cash flows resulting from the tax benefits from tax deductions recognized upon the exercise of stock options or SARS (tax benefits) as financing cash flows. For the years ended April 30, 2014 and 2013, the Company realized $182,000 and $152,000 respectively, of tax benefits from the exercise of stock options and SARS.</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Independent Contractor Stock Option Plan:</w:t>
      </w:r>
    </w:p>
    <w:p>
      <w:pPr>
        <w:spacing w:after="0" w:line="217" w:lineRule="exact"/>
        <w:rPr>
          <w:sz w:val="20"/>
          <w:szCs w:val="20"/>
          <w:color w:val="auto"/>
        </w:rPr>
      </w:pPr>
    </w:p>
    <w:p>
      <w:pPr>
        <w:jc w:val="both"/>
        <w:ind w:firstLine="408"/>
        <w:spacing w:after="0" w:line="304" w:lineRule="auto"/>
        <w:rPr>
          <w:sz w:val="20"/>
          <w:szCs w:val="20"/>
          <w:color w:val="auto"/>
        </w:rPr>
      </w:pPr>
      <w:r>
        <w:rPr>
          <w:rFonts w:ascii="Arial" w:cs="Arial" w:eastAsia="Arial" w:hAnsi="Arial"/>
          <w:sz w:val="13"/>
          <w:szCs w:val="13"/>
          <w:color w:val="auto"/>
        </w:rPr>
        <w:t>The Company had an Independent Contractor Stock Option Plan under which up to 350,000 shares could be granted. This plan was terminated in fiscal year 2006. An Independent Contractor Stock Option Committee determined to whom options may be granted from among eligible participants, the timing and duration of option grants, the option price, and the number of shares of common stock subject to each option. Options were granted to certain independent contractors at a price equal to the then fair market value of the Company’s common stock. The options were exercisable over specified periods per terms of the individual agreements. No compensation expense was recorded during the years ended April 30, 2014 and 2013 as no other grants were made in those years and previous grants have been fully expensed. As a result of the adoption by the stockholders of the 2005 Stock Award Plan, the Independent Contractor Stock Option Plan was discontinued. No additional grants will be made under this plan and the outstanding grant will expire in fiscal year 2015.</w:t>
      </w:r>
    </w:p>
    <w:p>
      <w:pPr>
        <w:spacing w:after="0" w:line="15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At April 30, 2014 and 2013, options for 30,000 shares, at a weighted average exercise price of $14.76, were issued and outstanding under this plan. No other activities occurred during the two year period ended April 30, 2014.</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Plan:</w:t>
      </w:r>
    </w:p>
    <w:p>
      <w:pPr>
        <w:spacing w:after="0" w:line="217" w:lineRule="exact"/>
        <w:rPr>
          <w:sz w:val="20"/>
          <w:szCs w:val="20"/>
          <w:color w:val="auto"/>
        </w:rPr>
      </w:pPr>
    </w:p>
    <w:p>
      <w:pPr>
        <w:jc w:val="both"/>
        <w:ind w:firstLine="408"/>
        <w:spacing w:after="0" w:line="281" w:lineRule="auto"/>
        <w:rPr>
          <w:sz w:val="20"/>
          <w:szCs w:val="20"/>
          <w:color w:val="auto"/>
        </w:rPr>
      </w:pPr>
      <w:r>
        <w:rPr>
          <w:rFonts w:ascii="Arial" w:cs="Arial" w:eastAsia="Arial" w:hAnsi="Arial"/>
          <w:sz w:val="14"/>
          <w:szCs w:val="14"/>
          <w:color w:val="auto"/>
        </w:rPr>
        <w:t>During fiscal year 1990, the Company adopted a Restricted Stock Plan which provided that key management employees could be granted rights to purchase an aggregate of 375,000 shares of the Company's common stock. The grants, transferability restrictions and purchase price were determined at the discretion of a special committee of the board of directors. The purchase price could not be less than the par value of the common stock. Transferability of shares is restricted for a four-year period, except in the event of a change in control as defined. As a result of the adoption by the Company’s stockholders of the 2005 Stock Award Plan, the Restricted Stock Plan was discontinued. No additional grants will be made under this plan. As of April 30, 2014 and 2013, grants for 7,500 shares are available to be purchased at a price of $4.00 per share.</w:t>
      </w:r>
    </w:p>
    <w:p>
      <w:pPr>
        <w:spacing w:after="0" w:line="14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Employee Stock Ownership Plan/Stock Bonus Plan:</w:t>
      </w:r>
    </w:p>
    <w:p>
      <w:pPr>
        <w:spacing w:after="0" w:line="217"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During 1990, the Company amended its Stock Bonus Plan to become an Employee Stock Ownership Plan (“ESOP”). By means of a bank note, subsequently repaid, the Company reacquired 561,652 shares of its common stock during fiscal year 1990. These shares plus approximately 510,000 additional shares issued by the Company from its authorized, unissued shares were sold to the ESOP in May 1990. Shares were released for allocation to participants based on a formula as specified in the ESOP document. By the end of fiscal year 2000, all shares (1,071,652) had been allocated to participant accounts of which 402,378 shares remain in the ESOP.</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3" w:name="page44"/>
    <w:bookmarkEnd w:id="4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17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Compensation Agreements:</w:t>
      </w:r>
    </w:p>
    <w:p>
      <w:pPr>
        <w:spacing w:after="0" w:line="217" w:lineRule="exact"/>
        <w:rPr>
          <w:sz w:val="20"/>
          <w:szCs w:val="20"/>
          <w:color w:val="auto"/>
        </w:rPr>
      </w:pPr>
    </w:p>
    <w:p>
      <w:pPr>
        <w:jc w:val="both"/>
        <w:ind w:firstLine="408"/>
        <w:spacing w:after="0" w:line="257" w:lineRule="auto"/>
        <w:rPr>
          <w:sz w:val="20"/>
          <w:szCs w:val="20"/>
          <w:color w:val="auto"/>
        </w:rPr>
      </w:pPr>
      <w:r>
        <w:rPr>
          <w:rFonts w:ascii="Arial" w:cs="Arial" w:eastAsia="Arial" w:hAnsi="Arial"/>
          <w:sz w:val="15"/>
          <w:szCs w:val="15"/>
          <w:color w:val="auto"/>
        </w:rPr>
        <w:t>The Company has a series of agreements with key employees providing for the payment of benefits upon retirement or death. Under these agreements, each key employee receives specified retirement payments for the remainder of the employee's life with a minimum payment of ten years' benefits to either the employee or his beneficiaries. The agreements also provide for lump sum payments upon termination of employment without cause and reduced benefits upon early retirement. The Company pays the benefits out of its working capital, but has also purchased whole life or term life insurance policies on the lives of certain of the participants to cover the optional lump sum obligations of the agreements upon the death of the participant. Deferred compensation expense charged to selling and administrative expenses during the years ended April 30, 2014 and 2013 was approximately $780,000 and $616,000,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Life Insurance Policies and Cash Held in Trust:</w:t>
      </w:r>
    </w:p>
    <w:p>
      <w:pPr>
        <w:spacing w:after="0" w:line="217" w:lineRule="exact"/>
        <w:rPr>
          <w:sz w:val="20"/>
          <w:szCs w:val="20"/>
          <w:color w:val="auto"/>
        </w:rPr>
      </w:pPr>
    </w:p>
    <w:p>
      <w:pPr>
        <w:jc w:val="both"/>
        <w:ind w:firstLine="408"/>
        <w:spacing w:after="0" w:line="313" w:lineRule="auto"/>
        <w:rPr>
          <w:sz w:val="20"/>
          <w:szCs w:val="20"/>
          <w:color w:val="auto"/>
        </w:rPr>
      </w:pPr>
      <w:r>
        <w:rPr>
          <w:rFonts w:ascii="Arial" w:cs="Arial" w:eastAsia="Arial" w:hAnsi="Arial"/>
          <w:sz w:val="13"/>
          <w:szCs w:val="13"/>
          <w:color w:val="auto"/>
        </w:rPr>
        <w:t>The whole-life insurance policies on the lives of certain participants covered by deferred compensation agreements have been placed in a trust. Upon the death of any insured participant, cash received from life insurance policies in excess of the Company’s deferred compensation obligations to the estate or beneficiaries of the deceased, are also placed in the trust. These assets belong to the Company until a change of control event, as defined in the trust agreement, should occur. At that time, the Company is required to add sufficient cash to the trust so as to match the deferred compensation liability described above. Such funds will be used to continue the deferred compensation arrangements following a change of control.</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80" w:type="dxa"/>
            <w:vAlign w:val="bottom"/>
          </w:tcPr>
          <w:p>
            <w:pPr>
              <w:jc w:val="right"/>
              <w:ind w:right="24"/>
              <w:spacing w:after="0"/>
              <w:rPr>
                <w:sz w:val="20"/>
                <w:szCs w:val="20"/>
                <w:color w:val="auto"/>
              </w:rPr>
            </w:pPr>
            <w:r>
              <w:rPr>
                <w:rFonts w:ascii="Arial" w:cs="Arial" w:eastAsia="Arial" w:hAnsi="Arial"/>
                <w:sz w:val="15"/>
                <w:szCs w:val="15"/>
                <w:color w:val="auto"/>
                <w:w w:val="76"/>
              </w:rPr>
              <w:t>13.</w:t>
            </w:r>
          </w:p>
        </w:tc>
        <w:tc>
          <w:tcPr>
            <w:tcW w:w="280" w:type="dxa"/>
            <w:vAlign w:val="bottom"/>
          </w:tcPr>
          <w:p>
            <w:pPr>
              <w:spacing w:after="0"/>
              <w:rPr>
                <w:sz w:val="14"/>
                <w:szCs w:val="14"/>
                <w:color w:val="auto"/>
              </w:rPr>
            </w:pPr>
          </w:p>
        </w:tc>
        <w:tc>
          <w:tcPr>
            <w:tcW w:w="84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86"/>
              </w:rPr>
              <w:t>Income Taxes</w:t>
            </w:r>
          </w:p>
        </w:tc>
        <w:tc>
          <w:tcPr>
            <w:tcW w:w="3860" w:type="dxa"/>
            <w:vAlign w:val="bottom"/>
            <w:gridSpan w:val="2"/>
          </w:tcPr>
          <w:p>
            <w:pPr>
              <w:spacing w:after="0"/>
              <w:rPr>
                <w:sz w:val="14"/>
                <w:szCs w:val="14"/>
                <w:color w:val="auto"/>
              </w:rPr>
            </w:pPr>
          </w:p>
        </w:tc>
        <w:tc>
          <w:tcPr>
            <w:tcW w:w="1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398"/>
        </w:trPr>
        <w:tc>
          <w:tcPr>
            <w:tcW w:w="280" w:type="dxa"/>
            <w:vAlign w:val="bottom"/>
          </w:tcPr>
          <w:p>
            <w:pPr>
              <w:spacing w:after="0"/>
              <w:rPr>
                <w:sz w:val="24"/>
                <w:szCs w:val="24"/>
                <w:color w:val="auto"/>
              </w:rPr>
            </w:pPr>
          </w:p>
        </w:tc>
        <w:tc>
          <w:tcPr>
            <w:tcW w:w="4980" w:type="dxa"/>
            <w:vAlign w:val="bottom"/>
            <w:gridSpan w:val="4"/>
          </w:tcPr>
          <w:p>
            <w:pPr>
              <w:ind w:left="120"/>
              <w:spacing w:after="0"/>
              <w:rPr>
                <w:sz w:val="20"/>
                <w:szCs w:val="20"/>
                <w:color w:val="auto"/>
              </w:rPr>
            </w:pPr>
            <w:r>
              <w:rPr>
                <w:rFonts w:ascii="Arial" w:cs="Arial" w:eastAsia="Arial" w:hAnsi="Arial"/>
                <w:sz w:val="15"/>
                <w:szCs w:val="15"/>
                <w:color w:val="auto"/>
                <w:w w:val="98"/>
              </w:rPr>
              <w:t>The income before provision for income taxes consisted of (in thousands):</w:t>
            </w:r>
          </w:p>
        </w:tc>
        <w:tc>
          <w:tcPr>
            <w:tcW w:w="16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90"/>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500" w:type="dxa"/>
            <w:vAlign w:val="bottom"/>
            <w:tcBorders>
              <w:bottom w:val="single" w:sz="8" w:color="auto"/>
            </w:tcBorders>
            <w:gridSpan w:val="5"/>
          </w:tcPr>
          <w:p>
            <w:pPr>
              <w:jc w:val="right"/>
              <w:ind w:right="264"/>
              <w:spacing w:after="0"/>
              <w:rPr>
                <w:sz w:val="20"/>
                <w:szCs w:val="20"/>
                <w:color w:val="auto"/>
              </w:rPr>
            </w:pPr>
            <w:r>
              <w:rPr>
                <w:rFonts w:ascii="Arial" w:cs="Arial" w:eastAsia="Arial" w:hAnsi="Arial"/>
                <w:sz w:val="15"/>
                <w:szCs w:val="15"/>
                <w:b w:val="1"/>
                <w:bCs w:val="1"/>
                <w:color w:val="auto"/>
              </w:rPr>
              <w:t>Year Ended April 30,</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84"/>
        </w:trPr>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2013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182"/>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5"/>
                <w:szCs w:val="15"/>
                <w:color w:val="auto"/>
              </w:rPr>
              <w:t>U.S.</w:t>
            </w:r>
          </w:p>
        </w:tc>
        <w:tc>
          <w:tcPr>
            <w:tcW w:w="256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7,565</w:t>
            </w: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7,028</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20" w:type="dxa"/>
            <w:vAlign w:val="bottom"/>
          </w:tcPr>
          <w:p>
            <w:pPr>
              <w:spacing w:after="0"/>
              <w:rPr>
                <w:sz w:val="20"/>
                <w:szCs w:val="20"/>
                <w:color w:val="auto"/>
              </w:rPr>
            </w:pPr>
            <w:r>
              <w:rPr>
                <w:rFonts w:ascii="Arial" w:cs="Arial" w:eastAsia="Arial" w:hAnsi="Arial"/>
                <w:sz w:val="15"/>
                <w:szCs w:val="15"/>
                <w:color w:val="auto"/>
              </w:rPr>
              <w:t>Foreign</w:t>
            </w:r>
          </w:p>
        </w:tc>
        <w:tc>
          <w:tcPr>
            <w:tcW w:w="1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(1,265)</w:t>
            </w: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5"/>
                <w:szCs w:val="15"/>
                <w:color w:val="auto"/>
              </w:rPr>
              <w:t>(1,942)</w:t>
            </w:r>
          </w:p>
        </w:tc>
        <w:tc>
          <w:tcPr>
            <w:tcW w:w="1440" w:type="dxa"/>
            <w:vAlign w:val="bottom"/>
          </w:tcPr>
          <w:p>
            <w:pPr>
              <w:spacing w:after="0"/>
              <w:rPr>
                <w:sz w:val="15"/>
                <w:szCs w:val="15"/>
                <w:color w:val="auto"/>
              </w:rPr>
            </w:pPr>
          </w:p>
        </w:tc>
      </w:tr>
      <w:tr>
        <w:trPr>
          <w:trHeight w:val="23"/>
        </w:trPr>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222"/>
        </w:trPr>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20" w:type="dxa"/>
            <w:vAlign w:val="bottom"/>
            <w:shd w:val="clear" w:color="auto" w:fill="CCEEFF"/>
          </w:tcPr>
          <w:p>
            <w:pPr>
              <w:spacing w:after="0"/>
              <w:rPr>
                <w:sz w:val="19"/>
                <w:szCs w:val="19"/>
                <w:color w:val="auto"/>
              </w:rPr>
            </w:pPr>
          </w:p>
        </w:tc>
        <w:tc>
          <w:tcPr>
            <w:tcW w:w="256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6,300</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78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5,086</w:t>
            </w:r>
          </w:p>
        </w:tc>
        <w:tc>
          <w:tcPr>
            <w:tcW w:w="100" w:type="dxa"/>
            <w:vAlign w:val="bottom"/>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494"/>
        </w:trPr>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20" w:type="dxa"/>
            <w:vAlign w:val="bottom"/>
            <w:tcBorders>
              <w:top w:val="single" w:sz="8" w:color="CCEEFF"/>
            </w:tcBorders>
          </w:tcPr>
          <w:p>
            <w:pPr>
              <w:spacing w:after="0"/>
              <w:rPr>
                <w:sz w:val="24"/>
                <w:szCs w:val="24"/>
                <w:color w:val="auto"/>
              </w:rPr>
            </w:pPr>
          </w:p>
        </w:tc>
        <w:tc>
          <w:tcPr>
            <w:tcW w:w="1660" w:type="dxa"/>
            <w:vAlign w:val="bottom"/>
            <w:tcBorders>
              <w:top w:val="single" w:sz="8" w:color="CCEEFF"/>
            </w:tcBorders>
          </w:tcPr>
          <w:p>
            <w:pPr>
              <w:jc w:val="right"/>
              <w:ind w:right="1064"/>
              <w:spacing w:after="0"/>
              <w:rPr>
                <w:sz w:val="20"/>
                <w:szCs w:val="20"/>
                <w:color w:val="auto"/>
              </w:rPr>
            </w:pPr>
            <w:r>
              <w:rPr>
                <w:rFonts w:ascii="Arial" w:cs="Arial" w:eastAsia="Arial" w:hAnsi="Arial"/>
                <w:sz w:val="15"/>
                <w:szCs w:val="15"/>
                <w:color w:val="auto"/>
              </w:rPr>
              <w:t>44</w:t>
            </w:r>
          </w:p>
        </w:tc>
        <w:tc>
          <w:tcPr>
            <w:tcW w:w="9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440" w:type="dxa"/>
            <w:vAlign w:val="bottom"/>
          </w:tcPr>
          <w:p>
            <w:pPr>
              <w:spacing w:after="0"/>
              <w:rPr>
                <w:sz w:val="24"/>
                <w:szCs w:val="24"/>
                <w:color w:val="auto"/>
              </w:rPr>
            </w:pPr>
          </w:p>
        </w:tc>
      </w:tr>
      <w:tr>
        <w:trPr>
          <w:trHeight w:val="99"/>
        </w:trPr>
        <w:tc>
          <w:tcPr>
            <w:tcW w:w="28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3820" w:type="dxa"/>
            <w:vAlign w:val="bottom"/>
            <w:tcBorders>
              <w:bottom w:val="single" w:sz="8" w:color="808080"/>
            </w:tcBorders>
          </w:tcPr>
          <w:p>
            <w:pPr>
              <w:spacing w:after="0"/>
              <w:rPr>
                <w:sz w:val="8"/>
                <w:szCs w:val="8"/>
                <w:color w:val="auto"/>
              </w:rPr>
            </w:pPr>
          </w:p>
        </w:tc>
        <w:tc>
          <w:tcPr>
            <w:tcW w:w="166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4" w:name="page45"/>
    <w:bookmarkEnd w:id="4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0" w:lineRule="exact"/>
        <w:rPr>
          <w:sz w:val="20"/>
          <w:szCs w:val="20"/>
          <w:color w:val="auto"/>
        </w:rPr>
      </w:pPr>
    </w:p>
    <w:p>
      <w:pPr>
        <w:spacing w:after="0" w:line="208" w:lineRule="exact"/>
        <w:rPr>
          <w:sz w:val="20"/>
          <w:szCs w:val="20"/>
          <w:color w:val="auto"/>
        </w:rPr>
      </w:pPr>
    </w:p>
    <w:tbl>
      <w:tblPr>
        <w:tblLayout w:type="fixed"/>
        <w:tblInd w:w="400" w:type="dxa"/>
        <w:tblCellMar>
          <w:top w:w="0" w:type="dxa"/>
          <w:left w:w="0" w:type="dxa"/>
          <w:bottom w:w="0" w:type="dxa"/>
          <w:right w:w="0" w:type="dxa"/>
        </w:tblCellMar>
      </w:tblPr>
      <w:tr>
        <w:trPr>
          <w:trHeight w:val="191"/>
        </w:trPr>
        <w:tc>
          <w:tcPr>
            <w:tcW w:w="5360" w:type="dxa"/>
            <w:vAlign w:val="bottom"/>
            <w:gridSpan w:val="2"/>
          </w:tcPr>
          <w:p>
            <w:pPr>
              <w:spacing w:after="0"/>
              <w:rPr>
                <w:sz w:val="20"/>
                <w:szCs w:val="20"/>
                <w:color w:val="auto"/>
              </w:rPr>
            </w:pPr>
            <w:r>
              <w:rPr>
                <w:rFonts w:ascii="Arial" w:cs="Arial" w:eastAsia="Arial" w:hAnsi="Arial"/>
                <w:sz w:val="15"/>
                <w:szCs w:val="15"/>
                <w:color w:val="auto"/>
              </w:rPr>
              <w:t>The provision for income taxes consists of the following (in thousands):</w:t>
            </w:r>
          </w:p>
        </w:tc>
        <w:tc>
          <w:tcPr>
            <w:tcW w:w="9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594"/>
        </w:trPr>
        <w:tc>
          <w:tcPr>
            <w:tcW w:w="104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2014</w:t>
            </w:r>
          </w:p>
        </w:tc>
        <w:tc>
          <w:tcPr>
            <w:tcW w:w="460" w:type="dxa"/>
            <w:vAlign w:val="bottom"/>
            <w:tcBorders>
              <w:bottom w:val="single" w:sz="8" w:color="auto"/>
            </w:tcBorders>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95"/>
              </w:rPr>
              <w:t>2013</w:t>
            </w:r>
          </w:p>
        </w:tc>
        <w:tc>
          <w:tcPr>
            <w:tcW w:w="460" w:type="dxa"/>
            <w:vAlign w:val="bottom"/>
          </w:tcPr>
          <w:p>
            <w:pPr>
              <w:spacing w:after="0"/>
              <w:rPr>
                <w:sz w:val="24"/>
                <w:szCs w:val="24"/>
                <w:color w:val="auto"/>
              </w:rPr>
            </w:pPr>
          </w:p>
        </w:tc>
      </w:tr>
      <w:tr>
        <w:trPr>
          <w:trHeight w:val="181"/>
        </w:trPr>
        <w:tc>
          <w:tcPr>
            <w:tcW w:w="5360" w:type="dxa"/>
            <w:vAlign w:val="bottom"/>
            <w:gridSpan w:val="2"/>
          </w:tcPr>
          <w:p>
            <w:pPr>
              <w:ind w:left="1020"/>
              <w:spacing w:after="0"/>
              <w:rPr>
                <w:sz w:val="20"/>
                <w:szCs w:val="20"/>
                <w:color w:val="auto"/>
              </w:rPr>
            </w:pPr>
            <w:r>
              <w:rPr>
                <w:rFonts w:ascii="Arial" w:cs="Arial" w:eastAsia="Arial" w:hAnsi="Arial"/>
                <w:sz w:val="15"/>
                <w:szCs w:val="15"/>
                <w:color w:val="auto"/>
              </w:rPr>
              <w:t>Current:</w:t>
            </w:r>
          </w:p>
        </w:tc>
        <w:tc>
          <w:tcPr>
            <w:tcW w:w="9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Federal</w:t>
            </w:r>
          </w:p>
        </w:tc>
        <w:tc>
          <w:tcPr>
            <w:tcW w:w="980" w:type="dxa"/>
            <w:vAlign w:val="bottom"/>
            <w:shd w:val="clear" w:color="auto" w:fill="CCEEFF"/>
          </w:tcPr>
          <w:p>
            <w:pPr>
              <w:jc w:val="right"/>
              <w:ind w:right="42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2,190</w:t>
            </w: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1,680</w:t>
            </w:r>
          </w:p>
        </w:tc>
        <w:tc>
          <w:tcPr>
            <w:tcW w:w="460" w:type="dxa"/>
            <w:vAlign w:val="bottom"/>
            <w:shd w:val="clear" w:color="auto" w:fill="CCEEFF"/>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Foreign</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460" w:type="dxa"/>
            <w:vAlign w:val="bottom"/>
          </w:tcPr>
          <w:p>
            <w:pPr>
              <w:spacing w:after="0"/>
              <w:rPr>
                <w:sz w:val="15"/>
                <w:szCs w:val="15"/>
                <w:color w:val="auto"/>
              </w:rPr>
            </w:pPr>
          </w:p>
        </w:tc>
      </w:tr>
      <w:tr>
        <w:trPr>
          <w:trHeight w:val="184"/>
        </w:trPr>
        <w:tc>
          <w:tcPr>
            <w:tcW w:w="1040" w:type="dxa"/>
            <w:vAlign w:val="bottom"/>
          </w:tcPr>
          <w:p>
            <w:pPr>
              <w:spacing w:after="0"/>
              <w:rPr>
                <w:sz w:val="16"/>
                <w:szCs w:val="16"/>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State</w:t>
            </w: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92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c>
          <w:tcPr>
            <w:tcW w:w="460" w:type="dxa"/>
            <w:vAlign w:val="bottom"/>
            <w:tcBorders>
              <w:bottom w:val="single" w:sz="8" w:color="CCEEFF"/>
            </w:tcBorders>
            <w:shd w:val="clear" w:color="auto" w:fill="CCEEFF"/>
          </w:tcPr>
          <w:p>
            <w:pPr>
              <w:spacing w:after="0"/>
              <w:rPr>
                <w:sz w:val="16"/>
                <w:szCs w:val="16"/>
                <w:color w:val="auto"/>
              </w:rPr>
            </w:pPr>
          </w:p>
        </w:tc>
      </w:tr>
      <w:tr>
        <w:trPr>
          <w:trHeight w:val="184"/>
        </w:trPr>
        <w:tc>
          <w:tcPr>
            <w:tcW w:w="1040" w:type="dxa"/>
            <w:vAlign w:val="bottom"/>
          </w:tcPr>
          <w:p>
            <w:pPr>
              <w:spacing w:after="0"/>
              <w:rPr>
                <w:sz w:val="16"/>
                <w:szCs w:val="16"/>
                <w:color w:val="auto"/>
              </w:rPr>
            </w:pPr>
          </w:p>
        </w:tc>
        <w:tc>
          <w:tcPr>
            <w:tcW w:w="4320" w:type="dxa"/>
            <w:vAlign w:val="bottom"/>
          </w:tcPr>
          <w:p>
            <w:pPr>
              <w:ind w:left="260"/>
              <w:spacing w:after="0"/>
              <w:rPr>
                <w:sz w:val="20"/>
                <w:szCs w:val="20"/>
                <w:color w:val="auto"/>
              </w:rPr>
            </w:pPr>
            <w:r>
              <w:rPr>
                <w:rFonts w:ascii="Arial" w:cs="Arial" w:eastAsia="Arial" w:hAnsi="Arial"/>
                <w:sz w:val="15"/>
                <w:szCs w:val="15"/>
                <w:color w:val="auto"/>
              </w:rPr>
              <w:t>Current provision</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2,420</w:t>
            </w:r>
          </w:p>
        </w:tc>
        <w:tc>
          <w:tcPr>
            <w:tcW w:w="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1,720</w:t>
            </w:r>
          </w:p>
        </w:tc>
        <w:tc>
          <w:tcPr>
            <w:tcW w:w="460" w:type="dxa"/>
            <w:vAlign w:val="bottom"/>
          </w:tcPr>
          <w:p>
            <w:pPr>
              <w:spacing w:after="0"/>
              <w:rPr>
                <w:sz w:val="16"/>
                <w:szCs w:val="16"/>
                <w:color w:val="auto"/>
              </w:rPr>
            </w:pPr>
          </w:p>
        </w:tc>
      </w:tr>
      <w:tr>
        <w:trPr>
          <w:trHeight w:val="182"/>
        </w:trPr>
        <w:tc>
          <w:tcPr>
            <w:tcW w:w="1040" w:type="dxa"/>
            <w:vAlign w:val="bottom"/>
          </w:tcPr>
          <w:p>
            <w:pPr>
              <w:spacing w:after="0"/>
              <w:rPr>
                <w:sz w:val="15"/>
                <w:szCs w:val="15"/>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5"/>
                <w:szCs w:val="15"/>
                <w:color w:val="auto"/>
              </w:rPr>
              <w:t>Deferred:</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r>
      <w:tr>
        <w:trPr>
          <w:trHeight w:val="182"/>
        </w:trPr>
        <w:tc>
          <w:tcPr>
            <w:tcW w:w="1040" w:type="dxa"/>
            <w:vAlign w:val="bottom"/>
          </w:tcPr>
          <w:p>
            <w:pPr>
              <w:spacing w:after="0"/>
              <w:rPr>
                <w:sz w:val="15"/>
                <w:szCs w:val="15"/>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Federal</w:t>
            </w: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(280</w:t>
            </w:r>
          </w:p>
        </w:tc>
        <w:tc>
          <w:tcPr>
            <w:tcW w:w="92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(145</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2"/>
        </w:trPr>
        <w:tc>
          <w:tcPr>
            <w:tcW w:w="1040" w:type="dxa"/>
            <w:vAlign w:val="bottom"/>
          </w:tcPr>
          <w:p>
            <w:pPr>
              <w:spacing w:after="0"/>
              <w:rPr>
                <w:sz w:val="15"/>
                <w:szCs w:val="15"/>
                <w:color w:val="auto"/>
              </w:rPr>
            </w:pPr>
          </w:p>
        </w:tc>
        <w:tc>
          <w:tcPr>
            <w:tcW w:w="43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Foreign</w:t>
            </w: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9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1040" w:type="dxa"/>
            <w:vAlign w:val="bottom"/>
          </w:tcPr>
          <w:p>
            <w:pPr>
              <w:spacing w:after="0"/>
              <w:rPr>
                <w:sz w:val="16"/>
                <w:szCs w:val="16"/>
                <w:color w:val="auto"/>
              </w:rPr>
            </w:pPr>
          </w:p>
        </w:tc>
        <w:tc>
          <w:tcPr>
            <w:tcW w:w="4320" w:type="dxa"/>
            <w:vAlign w:val="bottom"/>
          </w:tcPr>
          <w:p>
            <w:pPr>
              <w:ind w:left="120"/>
              <w:spacing w:after="0"/>
              <w:rPr>
                <w:sz w:val="20"/>
                <w:szCs w:val="20"/>
                <w:color w:val="auto"/>
              </w:rPr>
            </w:pPr>
            <w:r>
              <w:rPr>
                <w:rFonts w:ascii="Arial" w:cs="Arial" w:eastAsia="Arial" w:hAnsi="Arial"/>
                <w:sz w:val="15"/>
                <w:szCs w:val="15"/>
                <w:color w:val="auto"/>
              </w:rPr>
              <w:t>State</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120</w:t>
            </w:r>
          </w:p>
        </w:tc>
        <w:tc>
          <w:tcPr>
            <w:tcW w:w="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1040" w:type="dxa"/>
            <w:vAlign w:val="bottom"/>
          </w:tcPr>
          <w:p>
            <w:pPr>
              <w:spacing w:after="0"/>
              <w:rPr>
                <w:sz w:val="16"/>
                <w:szCs w:val="16"/>
                <w:color w:val="auto"/>
              </w:rPr>
            </w:pPr>
          </w:p>
        </w:tc>
        <w:tc>
          <w:tcPr>
            <w:tcW w:w="4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5"/>
                <w:szCs w:val="15"/>
                <w:color w:val="auto"/>
              </w:rPr>
              <w:t>Deferred benefit</w:t>
            </w:r>
          </w:p>
        </w:tc>
        <w:tc>
          <w:tcPr>
            <w:tcW w:w="98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(263</w:t>
            </w:r>
          </w:p>
        </w:tc>
        <w:tc>
          <w:tcPr>
            <w:tcW w:w="920" w:type="dxa"/>
            <w:vAlign w:val="bottom"/>
            <w:tcBorders>
              <w:bottom w:val="single" w:sz="8" w:color="CCEEFF"/>
            </w:tcBorders>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4"/>
        </w:trPr>
        <w:tc>
          <w:tcPr>
            <w:tcW w:w="1040" w:type="dxa"/>
            <w:vAlign w:val="bottom"/>
          </w:tcPr>
          <w:p>
            <w:pPr>
              <w:spacing w:after="0"/>
              <w:rPr>
                <w:sz w:val="16"/>
                <w:szCs w:val="16"/>
                <w:color w:val="auto"/>
              </w:rPr>
            </w:pPr>
          </w:p>
        </w:tc>
        <w:tc>
          <w:tcPr>
            <w:tcW w:w="4320" w:type="dxa"/>
            <w:vAlign w:val="bottom"/>
          </w:tcPr>
          <w:p>
            <w:pPr>
              <w:spacing w:after="0"/>
              <w:rPr>
                <w:sz w:val="20"/>
                <w:szCs w:val="20"/>
                <w:color w:val="auto"/>
              </w:rPr>
            </w:pPr>
            <w:r>
              <w:rPr>
                <w:rFonts w:ascii="Arial" w:cs="Arial" w:eastAsia="Arial" w:hAnsi="Arial"/>
                <w:sz w:val="15"/>
                <w:szCs w:val="15"/>
                <w:color w:val="auto"/>
              </w:rPr>
              <w:t>Change in valuation allowance</w:t>
            </w: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92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490</w:t>
            </w:r>
          </w:p>
        </w:tc>
        <w:tc>
          <w:tcPr>
            <w:tcW w:w="460" w:type="dxa"/>
            <w:vAlign w:val="bottom"/>
          </w:tcPr>
          <w:p>
            <w:pPr>
              <w:spacing w:after="0"/>
              <w:rPr>
                <w:sz w:val="16"/>
                <w:szCs w:val="16"/>
                <w:color w:val="auto"/>
              </w:rPr>
            </w:pPr>
          </w:p>
        </w:tc>
      </w:tr>
      <w:tr>
        <w:trPr>
          <w:trHeight w:val="222"/>
        </w:trPr>
        <w:tc>
          <w:tcPr>
            <w:tcW w:w="1040" w:type="dxa"/>
            <w:vAlign w:val="bottom"/>
          </w:tcPr>
          <w:p>
            <w:pPr>
              <w:spacing w:after="0"/>
              <w:rPr>
                <w:sz w:val="19"/>
                <w:szCs w:val="19"/>
                <w:color w:val="auto"/>
              </w:rPr>
            </w:pPr>
          </w:p>
        </w:tc>
        <w:tc>
          <w:tcPr>
            <w:tcW w:w="4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provision</w:t>
            </w:r>
          </w:p>
        </w:tc>
        <w:tc>
          <w:tcPr>
            <w:tcW w:w="98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2,260</w:t>
            </w:r>
          </w:p>
        </w:tc>
        <w:tc>
          <w:tcPr>
            <w:tcW w:w="9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46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The following table reconciles the reported income tax expense with the amount computed using the federal statutory income tax rate (in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144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8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b w:val="1"/>
                <w:bCs w:val="1"/>
                <w:color w:val="auto"/>
              </w:rPr>
              <w:t>2014</w:t>
            </w:r>
          </w:p>
        </w:tc>
        <w:tc>
          <w:tcPr>
            <w:tcW w:w="460" w:type="dxa"/>
            <w:vAlign w:val="bottom"/>
            <w:tcBorders>
              <w:bottom w:val="single" w:sz="8" w:color="auto"/>
            </w:tcBorders>
          </w:tcPr>
          <w:p>
            <w:pPr>
              <w:spacing w:after="0"/>
              <w:rPr>
                <w:sz w:val="17"/>
                <w:szCs w:val="17"/>
                <w:color w:val="auto"/>
              </w:rPr>
            </w:pPr>
          </w:p>
        </w:tc>
        <w:tc>
          <w:tcPr>
            <w:tcW w:w="920" w:type="dxa"/>
            <w:vAlign w:val="bottom"/>
          </w:tcPr>
          <w:p>
            <w:pPr>
              <w:spacing w:after="0"/>
              <w:rPr>
                <w:sz w:val="17"/>
                <w:szCs w:val="17"/>
                <w:color w:val="auto"/>
              </w:rPr>
            </w:pPr>
          </w:p>
        </w:tc>
        <w:tc>
          <w:tcPr>
            <w:tcW w:w="900" w:type="dxa"/>
            <w:vAlign w:val="bottom"/>
            <w:tcBorders>
              <w:bottom w:val="single" w:sz="8" w:color="auto"/>
            </w:tcBorders>
          </w:tcPr>
          <w:p>
            <w:pPr>
              <w:jc w:val="right"/>
              <w:ind w:right="84"/>
              <w:spacing w:after="0"/>
              <w:rPr>
                <w:sz w:val="20"/>
                <w:szCs w:val="20"/>
                <w:color w:val="auto"/>
              </w:rPr>
            </w:pPr>
            <w:r>
              <w:rPr>
                <w:rFonts w:ascii="Arial" w:cs="Arial" w:eastAsia="Arial" w:hAnsi="Arial"/>
                <w:sz w:val="15"/>
                <w:szCs w:val="15"/>
                <w:b w:val="1"/>
                <w:bCs w:val="1"/>
                <w:color w:val="auto"/>
              </w:rPr>
              <w:t>2013</w:t>
            </w:r>
          </w:p>
        </w:tc>
        <w:tc>
          <w:tcPr>
            <w:tcW w:w="520" w:type="dxa"/>
            <w:vAlign w:val="bottom"/>
            <w:tcBorders>
              <w:bottom w:val="single" w:sz="8" w:color="auto"/>
            </w:tcBorders>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82"/>
        </w:trPr>
        <w:tc>
          <w:tcPr>
            <w:tcW w:w="144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Computed "expected" tax expense</w:t>
            </w:r>
          </w:p>
        </w:tc>
        <w:tc>
          <w:tcPr>
            <w:tcW w:w="1500" w:type="dxa"/>
            <w:vAlign w:val="bottom"/>
            <w:gridSpan w:val="2"/>
            <w:shd w:val="clear" w:color="auto" w:fill="CCEEFF"/>
          </w:tcPr>
          <w:p>
            <w:pPr>
              <w:jc w:val="right"/>
              <w:ind w:right="424"/>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2,142</w:t>
            </w: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44"/>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1,729</w:t>
            </w:r>
          </w:p>
        </w:tc>
        <w:tc>
          <w:tcPr>
            <w:tcW w:w="4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State and local tax, net of federal benefit</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214</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(81</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 on deferred tax assets</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w:t>
            </w: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w:t>
            </w:r>
          </w:p>
        </w:tc>
        <w:tc>
          <w:tcPr>
            <w:tcW w:w="4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Foreign losses without tax benefit</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222</w:t>
            </w:r>
          </w:p>
        </w:tc>
        <w:tc>
          <w:tcPr>
            <w:tcW w:w="9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29</w:t>
            </w:r>
          </w:p>
        </w:tc>
        <w:tc>
          <w:tcPr>
            <w:tcW w:w="46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Nondeductible expenses</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199</w:t>
            </w:r>
          </w:p>
        </w:tc>
        <w:tc>
          <w:tcPr>
            <w:tcW w:w="9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w:t>
            </w:r>
          </w:p>
        </w:tc>
        <w:tc>
          <w:tcPr>
            <w:tcW w:w="46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tcPr>
          <w:p>
            <w:pPr>
              <w:spacing w:after="0"/>
              <w:rPr>
                <w:sz w:val="20"/>
                <w:szCs w:val="20"/>
                <w:color w:val="auto"/>
              </w:rPr>
            </w:pPr>
            <w:r>
              <w:rPr>
                <w:rFonts w:ascii="Arial" w:cs="Arial" w:eastAsia="Arial" w:hAnsi="Arial"/>
                <w:sz w:val="15"/>
                <w:szCs w:val="15"/>
                <w:color w:val="auto"/>
              </w:rPr>
              <w:t>Nontaxable life insurance cash value increase</w:t>
            </w:r>
          </w:p>
        </w:tc>
        <w:tc>
          <w:tcPr>
            <w:tcW w:w="5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(151</w:t>
            </w:r>
          </w:p>
        </w:tc>
        <w:tc>
          <w:tcPr>
            <w:tcW w:w="92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90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(168</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r>
      <w:tr>
        <w:trPr>
          <w:trHeight w:val="182"/>
        </w:trPr>
        <w:tc>
          <w:tcPr>
            <w:tcW w:w="1440" w:type="dxa"/>
            <w:vAlign w:val="bottom"/>
          </w:tcPr>
          <w:p>
            <w:pPr>
              <w:spacing w:after="0"/>
              <w:rPr>
                <w:sz w:val="15"/>
                <w:szCs w:val="15"/>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5"/>
                <w:szCs w:val="15"/>
                <w:color w:val="auto"/>
              </w:rPr>
              <w:t>Tax credits</w:t>
            </w:r>
          </w:p>
        </w:tc>
        <w:tc>
          <w:tcPr>
            <w:tcW w:w="5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(203</w:t>
            </w:r>
          </w:p>
        </w:tc>
        <w:tc>
          <w:tcPr>
            <w:tcW w:w="920" w:type="dxa"/>
            <w:vAlign w:val="bottom"/>
            <w:shd w:val="clear" w:color="auto" w:fill="CCEEFF"/>
          </w:tcPr>
          <w:p>
            <w:pPr>
              <w:jc w:val="right"/>
              <w:ind w:right="404"/>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5"/>
                <w:szCs w:val="15"/>
                <w:color w:val="auto"/>
              </w:rPr>
            </w:pPr>
          </w:p>
        </w:tc>
      </w:tr>
      <w:tr>
        <w:trPr>
          <w:trHeight w:val="171"/>
        </w:trPr>
        <w:tc>
          <w:tcPr>
            <w:tcW w:w="1440" w:type="dxa"/>
            <w:vAlign w:val="bottom"/>
          </w:tcPr>
          <w:p>
            <w:pPr>
              <w:spacing w:after="0"/>
              <w:rPr>
                <w:sz w:val="14"/>
                <w:szCs w:val="14"/>
                <w:color w:val="auto"/>
              </w:rPr>
            </w:pPr>
          </w:p>
        </w:tc>
        <w:tc>
          <w:tcPr>
            <w:tcW w:w="3800" w:type="dxa"/>
            <w:vAlign w:val="bottom"/>
          </w:tcPr>
          <w:p>
            <w:pPr>
              <w:spacing w:after="0" w:line="171" w:lineRule="exact"/>
              <w:rPr>
                <w:sz w:val="20"/>
                <w:szCs w:val="20"/>
                <w:color w:val="auto"/>
              </w:rPr>
            </w:pPr>
            <w:r>
              <w:rPr>
                <w:rFonts w:ascii="Arial" w:cs="Arial" w:eastAsia="Arial" w:hAnsi="Arial"/>
                <w:sz w:val="15"/>
                <w:szCs w:val="15"/>
                <w:color w:val="auto"/>
              </w:rPr>
              <w:t>Other items, net, none of which individually exceeds 5%</w:t>
            </w: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195"/>
        </w:trPr>
        <w:tc>
          <w:tcPr>
            <w:tcW w:w="5240" w:type="dxa"/>
            <w:vAlign w:val="bottom"/>
            <w:gridSpan w:val="2"/>
          </w:tcPr>
          <w:p>
            <w:pPr>
              <w:ind w:left="1420"/>
              <w:spacing w:after="0"/>
              <w:rPr>
                <w:sz w:val="20"/>
                <w:szCs w:val="20"/>
                <w:color w:val="auto"/>
              </w:rPr>
            </w:pPr>
            <w:r>
              <w:rPr>
                <w:rFonts w:ascii="Arial" w:cs="Arial" w:eastAsia="Arial" w:hAnsi="Arial"/>
                <w:sz w:val="15"/>
                <w:szCs w:val="15"/>
                <w:color w:val="auto"/>
              </w:rPr>
              <w:t>of federal taxes at statutory rates</w:t>
            </w:r>
          </w:p>
        </w:tc>
        <w:tc>
          <w:tcPr>
            <w:tcW w:w="5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(266</w:t>
            </w:r>
          </w:p>
        </w:tc>
        <w:tc>
          <w:tcPr>
            <w:tcW w:w="920" w:type="dxa"/>
            <w:vAlign w:val="bottom"/>
          </w:tcPr>
          <w:p>
            <w:pPr>
              <w:jc w:val="right"/>
              <w:ind w:right="404"/>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w:t>
            </w:r>
          </w:p>
        </w:tc>
        <w:tc>
          <w:tcPr>
            <w:tcW w:w="460" w:type="dxa"/>
            <w:vAlign w:val="bottom"/>
          </w:tcPr>
          <w:p>
            <w:pPr>
              <w:jc w:val="right"/>
              <w:spacing w:after="0"/>
              <w:rPr>
                <w:sz w:val="20"/>
                <w:szCs w:val="20"/>
                <w:color w:val="auto"/>
              </w:rPr>
            </w:pPr>
            <w:r>
              <w:rPr>
                <w:rFonts w:ascii="Arial" w:cs="Arial" w:eastAsia="Arial" w:hAnsi="Arial"/>
                <w:sz w:val="15"/>
                <w:szCs w:val="15"/>
                <w:color w:val="auto"/>
              </w:rPr>
              <w:t>)</w:t>
            </w:r>
          </w:p>
        </w:tc>
        <w:tc>
          <w:tcPr>
            <w:tcW w:w="1440" w:type="dxa"/>
            <w:vAlign w:val="bottom"/>
          </w:tcPr>
          <w:p>
            <w:pPr>
              <w:spacing w:after="0"/>
              <w:rPr>
                <w:sz w:val="16"/>
                <w:szCs w:val="16"/>
                <w:color w:val="auto"/>
              </w:rPr>
            </w:pPr>
          </w:p>
        </w:tc>
      </w:tr>
      <w:tr>
        <w:trPr>
          <w:trHeight w:val="222"/>
        </w:trPr>
        <w:tc>
          <w:tcPr>
            <w:tcW w:w="1440" w:type="dxa"/>
            <w:vAlign w:val="bottom"/>
          </w:tcPr>
          <w:p>
            <w:pPr>
              <w:spacing w:after="0"/>
              <w:rPr>
                <w:sz w:val="19"/>
                <w:szCs w:val="19"/>
                <w:color w:val="auto"/>
              </w:rPr>
            </w:pPr>
          </w:p>
        </w:tc>
        <w:tc>
          <w:tcPr>
            <w:tcW w:w="38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424"/>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2,260</w:t>
            </w:r>
          </w:p>
        </w:tc>
        <w:tc>
          <w:tcPr>
            <w:tcW w:w="9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4"/>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1,400</w:t>
            </w:r>
          </w:p>
        </w:tc>
        <w:tc>
          <w:tcPr>
            <w:tcW w:w="460" w:type="dxa"/>
            <w:vAlign w:val="bottom"/>
            <w:tcBorders>
              <w:bottom w:val="single" w:sz="8" w:color="CCEEFF"/>
            </w:tcBorders>
            <w:shd w:val="clear" w:color="auto" w:fill="CCEEFF"/>
          </w:tcPr>
          <w:p>
            <w:pPr>
              <w:spacing w:after="0"/>
              <w:rPr>
                <w:sz w:val="19"/>
                <w:szCs w:val="19"/>
                <w:color w:val="auto"/>
              </w:rPr>
            </w:pPr>
          </w:p>
        </w:tc>
        <w:tc>
          <w:tcPr>
            <w:tcW w:w="1440" w:type="dxa"/>
            <w:vAlign w:val="bottom"/>
          </w:tcPr>
          <w:p>
            <w:pPr>
              <w:spacing w:after="0"/>
              <w:rPr>
                <w:sz w:val="19"/>
                <w:szCs w:val="19"/>
                <w:color w:val="auto"/>
              </w:rPr>
            </w:pPr>
          </w:p>
        </w:tc>
      </w:tr>
      <w:tr>
        <w:trPr>
          <w:trHeight w:val="494"/>
        </w:trPr>
        <w:tc>
          <w:tcPr>
            <w:tcW w:w="14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500" w:type="dxa"/>
            <w:vAlign w:val="bottom"/>
            <w:gridSpan w:val="2"/>
          </w:tcPr>
          <w:p>
            <w:pPr>
              <w:jc w:val="right"/>
              <w:ind w:right="884"/>
              <w:spacing w:after="0"/>
              <w:rPr>
                <w:sz w:val="20"/>
                <w:szCs w:val="20"/>
                <w:color w:val="auto"/>
              </w:rPr>
            </w:pPr>
            <w:r>
              <w:rPr>
                <w:rFonts w:ascii="Arial" w:cs="Arial" w:eastAsia="Arial" w:hAnsi="Arial"/>
                <w:sz w:val="15"/>
                <w:szCs w:val="15"/>
                <w:color w:val="auto"/>
              </w:rPr>
              <w:t>45</w:t>
            </w:r>
          </w:p>
        </w:tc>
        <w:tc>
          <w:tcPr>
            <w:tcW w:w="4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99"/>
        </w:trPr>
        <w:tc>
          <w:tcPr>
            <w:tcW w:w="1440" w:type="dxa"/>
            <w:vAlign w:val="bottom"/>
            <w:tcBorders>
              <w:bottom w:val="single" w:sz="8" w:color="808080"/>
            </w:tcBorders>
          </w:tcPr>
          <w:p>
            <w:pPr>
              <w:spacing w:after="0"/>
              <w:rPr>
                <w:sz w:val="8"/>
                <w:szCs w:val="8"/>
                <w:color w:val="auto"/>
              </w:rPr>
            </w:pPr>
          </w:p>
        </w:tc>
        <w:tc>
          <w:tcPr>
            <w:tcW w:w="38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92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52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38"/>
        </w:trPr>
        <w:tc>
          <w:tcPr>
            <w:tcW w:w="5120" w:type="dxa"/>
            <w:vAlign w:val="bottom"/>
            <w:gridSpan w:val="3"/>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8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6"/>
        </w:trPr>
        <w:tc>
          <w:tcPr>
            <w:tcW w:w="84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6380" w:type="dxa"/>
            <w:vAlign w:val="bottom"/>
            <w:gridSpan w:val="3"/>
          </w:tcPr>
          <w:p>
            <w:pPr>
              <w:jc w:val="center"/>
              <w:ind w:left="2104"/>
              <w:spacing w:after="0"/>
              <w:rPr>
                <w:sz w:val="20"/>
                <w:szCs w:val="20"/>
                <w:color w:val="auto"/>
              </w:rPr>
            </w:pPr>
            <w:r>
              <w:rPr>
                <w:rFonts w:ascii="Arial" w:cs="Arial" w:eastAsia="Arial" w:hAnsi="Arial"/>
                <w:sz w:val="15"/>
                <w:szCs w:val="15"/>
                <w:b w:val="1"/>
                <w:bCs w:val="1"/>
                <w:color w:val="auto"/>
              </w:rPr>
              <w:t>FREQUENCY ELECTRONICS, INC. AND SUBSIDIARIES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980" w:type="dxa"/>
            <w:vAlign w:val="bottom"/>
            <w:gridSpan w:val="5"/>
          </w:tcPr>
          <w:p>
            <w:pPr>
              <w:jc w:val="center"/>
              <w:ind w:left="1484"/>
              <w:spacing w:after="0"/>
              <w:rPr>
                <w:sz w:val="20"/>
                <w:szCs w:val="20"/>
                <w:color w:val="auto"/>
              </w:rPr>
            </w:pPr>
            <w:r>
              <w:rPr>
                <w:rFonts w:ascii="Arial" w:cs="Arial" w:eastAsia="Arial" w:hAnsi="Arial"/>
                <w:sz w:val="15"/>
                <w:szCs w:val="15"/>
                <w:color w:val="auto"/>
                <w:w w:val="97"/>
              </w:rPr>
              <w:t>NOTES TO CONSOLIDATED FINANCIAL STATEMENTS - Continued</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6"/>
        </w:trPr>
        <w:tc>
          <w:tcPr>
            <w:tcW w:w="5120" w:type="dxa"/>
            <w:vAlign w:val="bottom"/>
            <w:gridSpan w:val="3"/>
          </w:tcPr>
          <w:p>
            <w:pPr>
              <w:ind w:left="400"/>
              <w:spacing w:after="0"/>
              <w:rPr>
                <w:sz w:val="20"/>
                <w:szCs w:val="20"/>
                <w:color w:val="auto"/>
              </w:rPr>
            </w:pPr>
            <w:r>
              <w:rPr>
                <w:rFonts w:ascii="Arial" w:cs="Arial" w:eastAsia="Arial" w:hAnsi="Arial"/>
                <w:sz w:val="15"/>
                <w:szCs w:val="15"/>
                <w:color w:val="auto"/>
              </w:rPr>
              <w:t>The components of deferred taxes are as follows (in thousands):</w:t>
            </w: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700" w:type="dxa"/>
            <w:vAlign w:val="bottom"/>
            <w:gridSpan w:val="2"/>
          </w:tcPr>
          <w:p>
            <w:pPr>
              <w:jc w:val="right"/>
              <w:spacing w:after="0"/>
              <w:rPr>
                <w:sz w:val="20"/>
                <w:szCs w:val="20"/>
                <w:color w:val="auto"/>
              </w:rPr>
            </w:pPr>
            <w:r>
              <w:rPr>
                <w:rFonts w:ascii="Arial" w:cs="Arial" w:eastAsia="Arial" w:hAnsi="Arial"/>
                <w:sz w:val="15"/>
                <w:szCs w:val="15"/>
                <w:b w:val="1"/>
                <w:bCs w:val="1"/>
                <w:color w:val="auto"/>
              </w:rPr>
              <w:t>2014</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840" w:type="dxa"/>
            <w:vAlign w:val="bottom"/>
          </w:tcPr>
          <w:p>
            <w:pPr>
              <w:spacing w:after="0"/>
              <w:rPr>
                <w:sz w:val="15"/>
                <w:szCs w:val="15"/>
                <w:color w:val="auto"/>
              </w:rPr>
            </w:pPr>
          </w:p>
        </w:tc>
        <w:tc>
          <w:tcPr>
            <w:tcW w:w="4280" w:type="dxa"/>
            <w:vAlign w:val="bottom"/>
            <w:gridSpan w:val="2"/>
          </w:tcPr>
          <w:p>
            <w:pPr>
              <w:ind w:left="580"/>
              <w:spacing w:after="0"/>
              <w:rPr>
                <w:sz w:val="20"/>
                <w:szCs w:val="20"/>
                <w:color w:val="auto"/>
              </w:rPr>
            </w:pPr>
            <w:r>
              <w:rPr>
                <w:rFonts w:ascii="Arial" w:cs="Arial" w:eastAsia="Arial" w:hAnsi="Arial"/>
                <w:sz w:val="15"/>
                <w:szCs w:val="15"/>
                <w:color w:val="auto"/>
              </w:rPr>
              <w:t>Deferred tax assets:</w:t>
            </w:r>
          </w:p>
        </w:tc>
        <w:tc>
          <w:tcPr>
            <w:tcW w:w="1800" w:type="dxa"/>
            <w:vAlign w:val="bottom"/>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Employee benefits</w:t>
            </w:r>
          </w:p>
        </w:tc>
        <w:tc>
          <w:tcPr>
            <w:tcW w:w="270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6,860</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Arial" w:cs="Arial" w:eastAsia="Arial" w:hAnsi="Arial"/>
                <w:sz w:val="15"/>
                <w:szCs w:val="15"/>
                <w:color w:val="auto"/>
              </w:rPr>
              <w:t>Inventory</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1,750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1,980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Accounts receivable</w:t>
            </w: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ind w:left="120"/>
              <w:spacing w:after="0"/>
              <w:rPr>
                <w:sz w:val="20"/>
                <w:szCs w:val="20"/>
                <w:color w:val="auto"/>
              </w:rPr>
            </w:pPr>
            <w:r>
              <w:rPr>
                <w:rFonts w:ascii="Arial" w:cs="Arial" w:eastAsia="Arial" w:hAnsi="Arial"/>
                <w:sz w:val="15"/>
                <w:szCs w:val="15"/>
                <w:color w:val="auto"/>
              </w:rPr>
              <w:t>Tax credits</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990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Other liabilities</w:t>
            </w: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5"/>
                <w:szCs w:val="15"/>
                <w:color w:val="auto"/>
              </w:rPr>
              <w:t>Net operating loss carryforwards</w:t>
            </w:r>
          </w:p>
        </w:tc>
        <w:tc>
          <w:tcPr>
            <w:tcW w:w="18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3,130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3,040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Total deferred tax asset</w:t>
            </w:r>
          </w:p>
        </w:tc>
        <w:tc>
          <w:tcPr>
            <w:tcW w:w="18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13,320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13,240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Deferred tax liabilities:</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Marketable securities</w:t>
            </w: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tcPr>
          <w:p>
            <w:pPr>
              <w:ind w:left="120"/>
              <w:spacing w:after="0"/>
              <w:rPr>
                <w:sz w:val="20"/>
                <w:szCs w:val="20"/>
                <w:color w:val="auto"/>
              </w:rPr>
            </w:pPr>
            <w:r>
              <w:rPr>
                <w:rFonts w:ascii="Arial" w:cs="Arial" w:eastAsia="Arial" w:hAnsi="Arial"/>
                <w:sz w:val="15"/>
                <w:szCs w:val="15"/>
                <w:color w:val="auto"/>
              </w:rPr>
              <w:t>Property, plant and equipment</w:t>
            </w:r>
          </w:p>
        </w:tc>
        <w:tc>
          <w:tcPr>
            <w:tcW w:w="18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deferred tax asset</w:t>
            </w: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11,990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11,390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Valuation allowance</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(2,120)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(1,900)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8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680" w:type="dxa"/>
            <w:vAlign w:val="bottom"/>
            <w:shd w:val="clear" w:color="auto" w:fill="CCEEFF"/>
          </w:tcPr>
          <w:p>
            <w:pPr>
              <w:ind w:left="260"/>
              <w:spacing w:after="0"/>
              <w:rPr>
                <w:sz w:val="20"/>
                <w:szCs w:val="20"/>
                <w:color w:val="auto"/>
              </w:rPr>
            </w:pPr>
            <w:r>
              <w:rPr>
                <w:rFonts w:ascii="Arial" w:cs="Arial" w:eastAsia="Arial" w:hAnsi="Arial"/>
                <w:sz w:val="15"/>
                <w:szCs w:val="15"/>
                <w:color w:val="auto"/>
              </w:rPr>
              <w:t>Net deferred tax assets</w:t>
            </w:r>
          </w:p>
        </w:tc>
        <w:tc>
          <w:tcPr>
            <w:tcW w:w="270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9,870</w:t>
            </w:r>
          </w:p>
        </w:tc>
        <w:tc>
          <w:tcPr>
            <w:tcW w:w="12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9,490</w:t>
            </w:r>
          </w:p>
        </w:tc>
        <w:tc>
          <w:tcPr>
            <w:tcW w:w="100" w:type="dxa"/>
            <w:vAlign w:val="bottom"/>
            <w:shd w:val="clear" w:color="auto" w:fill="CCEEFF"/>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5120" w:type="dxa"/>
            <w:vAlign w:val="bottom"/>
            <w:gridSpan w:val="3"/>
          </w:tcPr>
          <w:p>
            <w:pPr>
              <w:ind w:left="400"/>
              <w:spacing w:after="0"/>
              <w:rPr>
                <w:sz w:val="20"/>
                <w:szCs w:val="20"/>
                <w:color w:val="auto"/>
              </w:rPr>
            </w:pPr>
            <w:r>
              <w:rPr>
                <w:rFonts w:ascii="Arial" w:cs="Arial" w:eastAsia="Arial" w:hAnsi="Arial"/>
                <w:sz w:val="15"/>
                <w:szCs w:val="15"/>
                <w:color w:val="auto"/>
              </w:rPr>
              <w:t>Net deferred tax assets are comprised of the following (in thousands):</w:t>
            </w:r>
          </w:p>
        </w:tc>
        <w:tc>
          <w:tcPr>
            <w:tcW w:w="18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0"/>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Gross current assets</w:t>
            </w:r>
          </w:p>
        </w:tc>
        <w:tc>
          <w:tcPr>
            <w:tcW w:w="2700" w:type="dxa"/>
            <w:vAlign w:val="bottom"/>
            <w:gridSpan w:val="2"/>
            <w:shd w:val="clear" w:color="auto" w:fill="CCEEFF"/>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3,600</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3,890</w:t>
            </w: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Valuation allowance</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(380)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(720)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Net current deferred tax assets</w:t>
            </w:r>
          </w:p>
        </w:tc>
        <w:tc>
          <w:tcPr>
            <w:tcW w:w="1800" w:type="dxa"/>
            <w:vAlign w:val="bottom"/>
            <w:tcBorders>
              <w:top w:val="single" w:sz="8" w:color="CCEEFF"/>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3,220</w:t>
            </w:r>
          </w:p>
        </w:tc>
        <w:tc>
          <w:tcPr>
            <w:tcW w:w="12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3,170</w:t>
            </w:r>
          </w:p>
        </w:tc>
        <w:tc>
          <w:tcPr>
            <w:tcW w:w="100" w:type="dxa"/>
            <w:vAlign w:val="bottom"/>
            <w:tcBorders>
              <w:top w:val="single" w:sz="8" w:color="CCEEFF"/>
            </w:tcBorders>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368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Gross noncurrent assets</w:t>
            </w:r>
          </w:p>
        </w:tc>
        <w:tc>
          <w:tcPr>
            <w:tcW w:w="18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9,940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9,600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5"/>
                <w:szCs w:val="15"/>
                <w:color w:val="auto"/>
              </w:rPr>
              <w:t>Valuation allowance</w:t>
            </w:r>
          </w:p>
        </w:tc>
        <w:tc>
          <w:tcPr>
            <w:tcW w:w="18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(2,120)</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(1,900)</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Noncurrent liabilities</w:t>
            </w:r>
          </w:p>
        </w:tc>
        <w:tc>
          <w:tcPr>
            <w:tcW w:w="18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5"/>
                <w:szCs w:val="15"/>
                <w:color w:val="auto"/>
              </w:rPr>
              <w:t>(1,170)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(1,380)</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Net noncurrent deferred tax assets</w:t>
            </w:r>
          </w:p>
        </w:tc>
        <w:tc>
          <w:tcPr>
            <w:tcW w:w="18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top w:val="single" w:sz="8" w:color="auto"/>
              <w:bottom w:val="single" w:sz="8" w:color="auto"/>
            </w:tcBorders>
            <w:shd w:val="clear" w:color="auto" w:fill="CCEEFF"/>
          </w:tcPr>
          <w:p>
            <w:pPr>
              <w:spacing w:after="0"/>
              <w:rPr>
                <w:sz w:val="16"/>
                <w:szCs w:val="16"/>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6,650</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top w:val="single" w:sz="8" w:color="auto"/>
              <w:bottom w:val="single" w:sz="8" w:color="auto"/>
            </w:tcBorders>
            <w:shd w:val="clear" w:color="auto" w:fill="CCEEFF"/>
          </w:tcPr>
          <w:p>
            <w:pPr>
              <w:spacing w:after="0"/>
              <w:rPr>
                <w:sz w:val="16"/>
                <w:szCs w:val="16"/>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6,320</w:t>
            </w:r>
          </w:p>
        </w:tc>
        <w:tc>
          <w:tcPr>
            <w:tcW w:w="100" w:type="dxa"/>
            <w:vAlign w:val="bottom"/>
            <w:tcBorders>
              <w:bottom w:val="single" w:sz="8" w:color="CCEEFF"/>
            </w:tcBorders>
            <w:shd w:val="clear" w:color="auto" w:fill="CCEEFF"/>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8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680" w:type="dxa"/>
            <w:vAlign w:val="bottom"/>
          </w:tcPr>
          <w:p>
            <w:pPr>
              <w:spacing w:after="0"/>
              <w:rPr>
                <w:sz w:val="20"/>
                <w:szCs w:val="20"/>
                <w:color w:val="auto"/>
              </w:rPr>
            </w:pPr>
            <w:r>
              <w:rPr>
                <w:rFonts w:ascii="Arial" w:cs="Arial" w:eastAsia="Arial" w:hAnsi="Arial"/>
                <w:sz w:val="15"/>
                <w:szCs w:val="15"/>
                <w:color w:val="auto"/>
              </w:rPr>
              <w:t>Net deferred tax assets</w:t>
            </w:r>
          </w:p>
        </w:tc>
        <w:tc>
          <w:tcPr>
            <w:tcW w:w="2700" w:type="dxa"/>
            <w:vAlign w:val="bottom"/>
            <w:gridSpan w:val="2"/>
          </w:tcPr>
          <w:p>
            <w:pPr>
              <w:jc w:val="right"/>
              <w:ind w:right="744"/>
              <w:spacing w:after="0"/>
              <w:rPr>
                <w:sz w:val="20"/>
                <w:szCs w:val="20"/>
                <w:color w:val="auto"/>
              </w:rPr>
            </w:pPr>
            <w:r>
              <w:rPr>
                <w:rFonts w:ascii="Arial" w:cs="Arial" w:eastAsia="Arial" w:hAnsi="Arial"/>
                <w:sz w:val="15"/>
                <w:szCs w:val="15"/>
                <w:color w:val="auto"/>
              </w:rPr>
              <w:t>$</w:t>
            </w:r>
          </w:p>
        </w:tc>
        <w:tc>
          <w:tcPr>
            <w:tcW w:w="480" w:type="dxa"/>
            <w:vAlign w:val="bottom"/>
          </w:tcPr>
          <w:p>
            <w:pPr>
              <w:jc w:val="right"/>
              <w:spacing w:after="0"/>
              <w:rPr>
                <w:sz w:val="20"/>
                <w:szCs w:val="20"/>
                <w:color w:val="auto"/>
              </w:rPr>
            </w:pPr>
            <w:r>
              <w:rPr>
                <w:rFonts w:ascii="Arial" w:cs="Arial" w:eastAsia="Arial" w:hAnsi="Arial"/>
                <w:sz w:val="15"/>
                <w:szCs w:val="15"/>
                <w:color w:val="auto"/>
              </w:rPr>
              <w:t>9,870</w:t>
            </w:r>
          </w:p>
        </w:tc>
        <w:tc>
          <w:tcPr>
            <w:tcW w:w="12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9,490</w:t>
            </w: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800" w:type="dxa"/>
            <w:vAlign w:val="bottom"/>
            <w:vMerge w:val="restart"/>
          </w:tcPr>
          <w:p>
            <w:pPr>
              <w:jc w:val="center"/>
              <w:ind w:right="544"/>
              <w:spacing w:after="0"/>
              <w:rPr>
                <w:sz w:val="20"/>
                <w:szCs w:val="20"/>
                <w:color w:val="auto"/>
              </w:rPr>
            </w:pPr>
            <w:r>
              <w:rPr>
                <w:rFonts w:ascii="Arial" w:cs="Arial" w:eastAsia="Arial" w:hAnsi="Arial"/>
                <w:sz w:val="15"/>
                <w:szCs w:val="15"/>
                <w:color w:val="auto"/>
                <w:w w:val="83"/>
              </w:rPr>
              <w:t>46</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4"/>
        </w:trPr>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9"/>
        </w:trPr>
        <w:tc>
          <w:tcPr>
            <w:tcW w:w="8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368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46" w:name="page47"/>
    <w:bookmarkEnd w:id="46"/>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total valuation allowance relates to deferred tax assets of both domestic and foreign subsidiaries. The change in valuation allowance during the year ended April 30, 2014 was an increase of $220,000, including a foreign exchange adjustment of $117,000. For the year ended April 30, 2013, the change in valuation allowance was an increase of $445,000 which consists of the $490,000 deferred tax provision less a foreign exchange adjustment of $45,000.</w:t>
      </w:r>
    </w:p>
    <w:p>
      <w:pPr>
        <w:spacing w:after="0" w:line="177"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At April 30, 2014, the Company has available approximately $3.6 million in net operating losses available to offset future income of certain of its foreign subsidiaries. These loss carryforwards have no expiration date. As a result of the acquisition of FEI-Elcom, the Company has a federal net operating loss carryforward of $5.6 million which may be applied in annually limited amounts to offset future U.S.-sourced taxable income over the next 18 years.</w:t>
      </w:r>
    </w:p>
    <w:p>
      <w:pPr>
        <w:spacing w:after="0" w:line="177" w:lineRule="exact"/>
        <w:rPr>
          <w:sz w:val="20"/>
          <w:szCs w:val="20"/>
          <w:color w:val="auto"/>
        </w:rPr>
      </w:pPr>
    </w:p>
    <w:p>
      <w:pPr>
        <w:jc w:val="both"/>
        <w:ind w:left="9" w:firstLine="408"/>
        <w:spacing w:after="0" w:line="285" w:lineRule="auto"/>
        <w:rPr>
          <w:sz w:val="20"/>
          <w:szCs w:val="20"/>
          <w:color w:val="auto"/>
        </w:rPr>
      </w:pPr>
      <w:r>
        <w:rPr>
          <w:rFonts w:ascii="Arial" w:cs="Arial" w:eastAsia="Arial" w:hAnsi="Arial"/>
          <w:sz w:val="14"/>
          <w:szCs w:val="14"/>
          <w:color w:val="auto"/>
        </w:rPr>
        <w:t>The Company has evaluated its tax positions and has concluded that the tax positions meet the more-likely-than-not recognition threshold as specified under accounting standards. It is difficult to predict what would occur to change the Company’s unrecognized tax benefits over the next twelve months. The Company believes, however, that there should be no change during the next twelve months. The Company's tax returns for April 30, 2006 and 2007 have been examined by the Internal Revenue Service, which resulted in no material adjustments. The Company's tax years from April 30, 2011 through April 30, 2014 remain open to examination by state tax authorities and by the Internal Revenue Service.</w:t>
      </w:r>
    </w:p>
    <w:p>
      <w:pPr>
        <w:spacing w:after="0" w:line="166" w:lineRule="exact"/>
        <w:rPr>
          <w:sz w:val="20"/>
          <w:szCs w:val="20"/>
          <w:color w:val="auto"/>
        </w:rPr>
      </w:pPr>
    </w:p>
    <w:p>
      <w:pPr>
        <w:ind w:left="609" w:hanging="609"/>
        <w:spacing w:after="0"/>
        <w:tabs>
          <w:tab w:leader="none" w:pos="609" w:val="left"/>
        </w:tabs>
        <w:numPr>
          <w:ilvl w:val="0"/>
          <w:numId w:val="15"/>
        </w:numPr>
        <w:rPr>
          <w:rFonts w:ascii="Arial" w:cs="Arial" w:eastAsia="Arial" w:hAnsi="Arial"/>
          <w:sz w:val="15"/>
          <w:szCs w:val="15"/>
          <w:color w:val="auto"/>
        </w:rPr>
      </w:pPr>
      <w:r>
        <w:rPr>
          <w:rFonts w:ascii="Arial" w:cs="Arial" w:eastAsia="Arial" w:hAnsi="Arial"/>
          <w:sz w:val="15"/>
          <w:szCs w:val="15"/>
          <w:u w:val="single" w:color="auto"/>
          <w:color w:val="auto"/>
        </w:rPr>
        <w:t>Segment Information</w:t>
      </w:r>
    </w:p>
    <w:p>
      <w:pPr>
        <w:spacing w:after="0" w:line="213" w:lineRule="exact"/>
        <w:rPr>
          <w:sz w:val="20"/>
          <w:szCs w:val="20"/>
          <w:color w:val="auto"/>
        </w:rPr>
      </w:pPr>
    </w:p>
    <w:p>
      <w:pPr>
        <w:ind w:left="409"/>
        <w:spacing w:after="0"/>
        <w:rPr>
          <w:sz w:val="20"/>
          <w:szCs w:val="20"/>
          <w:color w:val="auto"/>
        </w:rPr>
      </w:pPr>
      <w:r>
        <w:rPr>
          <w:rFonts w:ascii="Arial" w:cs="Arial" w:eastAsia="Arial" w:hAnsi="Arial"/>
          <w:sz w:val="15"/>
          <w:szCs w:val="15"/>
          <w:color w:val="auto"/>
        </w:rPr>
        <w:t>The Company operates under three reportable segments based on the geographic locations of its subsidiaries:</w:t>
      </w:r>
    </w:p>
    <w:p>
      <w:pPr>
        <w:spacing w:after="0" w:line="213" w:lineRule="exact"/>
        <w:rPr>
          <w:sz w:val="20"/>
          <w:szCs w:val="20"/>
          <w:color w:val="auto"/>
        </w:rPr>
      </w:pPr>
    </w:p>
    <w:p>
      <w:pPr>
        <w:jc w:val="both"/>
        <w:ind w:left="949" w:hanging="248"/>
        <w:spacing w:after="0" w:line="265" w:lineRule="auto"/>
        <w:tabs>
          <w:tab w:leader="none" w:pos="9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FEI-NY – operates out of New York and its operations consist principally of precision time and frequency control products used in three principal markets- communication satellites (both commercial and U.S. Government-funded); terrestrial cellular telephone or other ground-based telecommunication stations and other components and systems for the U.S. military.</w:t>
      </w:r>
    </w:p>
    <w:p>
      <w:pPr>
        <w:spacing w:after="0" w:line="177" w:lineRule="exact"/>
        <w:rPr>
          <w:rFonts w:ascii="Arial" w:cs="Arial" w:eastAsia="Arial" w:hAnsi="Arial"/>
          <w:sz w:val="15"/>
          <w:szCs w:val="15"/>
          <w:color w:val="auto"/>
        </w:rPr>
      </w:pPr>
    </w:p>
    <w:p>
      <w:pPr>
        <w:ind w:left="949" w:right="20" w:hanging="248"/>
        <w:spacing w:after="0" w:line="277" w:lineRule="auto"/>
        <w:tabs>
          <w:tab w:leader="none" w:pos="9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Gillam-FEI - operates out of Belgium and France and primarily sells wireline synchronization and network management systems in non-U.S. markets. All sales from Gillam-FEI to the United States are to other segments of the Company.</w:t>
      </w:r>
    </w:p>
    <w:p>
      <w:pPr>
        <w:spacing w:after="0" w:line="169" w:lineRule="exact"/>
        <w:rPr>
          <w:rFonts w:ascii="Arial" w:cs="Arial" w:eastAsia="Arial" w:hAnsi="Arial"/>
          <w:sz w:val="15"/>
          <w:szCs w:val="15"/>
          <w:color w:val="auto"/>
        </w:rPr>
      </w:pPr>
    </w:p>
    <w:p>
      <w:pPr>
        <w:jc w:val="both"/>
        <w:ind w:left="949" w:hanging="248"/>
        <w:spacing w:after="0" w:line="265" w:lineRule="auto"/>
        <w:tabs>
          <w:tab w:leader="none" w:pos="949" w:val="left"/>
        </w:tabs>
        <w:numPr>
          <w:ilvl w:val="0"/>
          <w:numId w:val="16"/>
        </w:numPr>
        <w:rPr>
          <w:rFonts w:ascii="Arial" w:cs="Arial" w:eastAsia="Arial" w:hAnsi="Arial"/>
          <w:sz w:val="15"/>
          <w:szCs w:val="15"/>
          <w:color w:val="auto"/>
        </w:rPr>
      </w:pPr>
      <w:r>
        <w:rPr>
          <w:rFonts w:ascii="Arial" w:cs="Arial" w:eastAsia="Arial" w:hAnsi="Arial"/>
          <w:sz w:val="15"/>
          <w:szCs w:val="15"/>
          <w:color w:val="auto"/>
        </w:rPr>
        <w:t>FEI-Zyfer – operates out of California and its products incorporate Global Positioning System (GPS) technologies into systems and subsystems for secure communications, both government and commercial, and other locator applications. This segment also provides sales and support for the Company’s wireline telecommunications family of products, including US5G, which are sold in the United States market.</w:t>
      </w:r>
    </w:p>
    <w:p>
      <w:pPr>
        <w:spacing w:after="0" w:line="177" w:lineRule="exact"/>
        <w:rPr>
          <w:sz w:val="20"/>
          <w:szCs w:val="20"/>
          <w:color w:val="auto"/>
        </w:rPr>
      </w:pPr>
    </w:p>
    <w:p>
      <w:pPr>
        <w:jc w:val="both"/>
        <w:ind w:left="9" w:firstLine="408"/>
        <w:spacing w:after="0" w:line="265" w:lineRule="auto"/>
        <w:rPr>
          <w:sz w:val="20"/>
          <w:szCs w:val="20"/>
          <w:color w:val="auto"/>
        </w:rPr>
      </w:pPr>
      <w:r>
        <w:rPr>
          <w:rFonts w:ascii="Arial" w:cs="Arial" w:eastAsia="Arial" w:hAnsi="Arial"/>
          <w:sz w:val="15"/>
          <w:szCs w:val="15"/>
          <w:color w:val="auto"/>
        </w:rPr>
        <w:t>The FEI-NY segment also includes the operations of the Company’s wholly-owned subsidiaries, FEI-Elcom and FEI-Asia. FEI-Asia functions as a manufacturing facility for the FEI-NY segment with minimal sales to outside customers. FEI-Elcom, in addition to its own product line, provides design and technical support for the FEI-NY segment’s satellite business.</w:t>
      </w:r>
    </w:p>
    <w:p>
      <w:pPr>
        <w:spacing w:after="0" w:line="177" w:lineRule="exact"/>
        <w:rPr>
          <w:sz w:val="20"/>
          <w:szCs w:val="20"/>
          <w:color w:val="auto"/>
        </w:rPr>
      </w:pPr>
    </w:p>
    <w:p>
      <w:pPr>
        <w:jc w:val="both"/>
        <w:ind w:left="9" w:firstLine="408"/>
        <w:spacing w:after="0" w:line="357" w:lineRule="auto"/>
        <w:rPr>
          <w:sz w:val="20"/>
          <w:szCs w:val="20"/>
          <w:color w:val="auto"/>
        </w:rPr>
      </w:pPr>
      <w:r>
        <w:rPr>
          <w:rFonts w:ascii="Arial" w:cs="Arial" w:eastAsia="Arial" w:hAnsi="Arial"/>
          <w:sz w:val="13"/>
          <w:szCs w:val="13"/>
          <w:color w:val="auto"/>
        </w:rPr>
        <w:t>The Company’s Chief Executive Officer measures segment performance based on total revenues and profits generated by each geographic location rather than on the specific types of customers or end-users. Consequently, the Company determined that the segments indicated above most appropriately reflect the way the Company’s management views the business.</w:t>
      </w:r>
    </w:p>
    <w:p>
      <w:pPr>
        <w:spacing w:after="0" w:line="24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47" w:name="page48"/>
    <w:bookmarkEnd w:id="47"/>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jc w:val="both"/>
        <w:ind w:firstLine="408"/>
        <w:spacing w:after="0" w:line="292" w:lineRule="auto"/>
        <w:rPr>
          <w:sz w:val="20"/>
          <w:szCs w:val="20"/>
          <w:color w:val="auto"/>
        </w:rPr>
      </w:pPr>
      <w:r>
        <w:rPr>
          <w:rFonts w:ascii="Arial" w:cs="Arial" w:eastAsia="Arial" w:hAnsi="Arial"/>
          <w:sz w:val="14"/>
          <w:szCs w:val="14"/>
          <w:color w:val="auto"/>
        </w:rPr>
        <w:t>The accounting policies of the three segments are the same as those described in the “Summary of Significant Accounting Policies.” The Company evaluates the performance of its segments and allocates resources to them based on operating profit which is defined as income before investment income, interest expense and taxes. The European-based director of Gillam-FEI and the president of FEI-Zyfer manage the assets of these segments. All acquired assets, including intangible assets, are included in the assets of these two segments.</w:t>
      </w:r>
    </w:p>
    <w:p>
      <w:pPr>
        <w:spacing w:after="0" w:line="161"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table below presents information about reported segments for each of the years ended April 30 with reconciliation of segment amounts to consolidated amounts as reported in the statement of operations or the balance sheet for each of the years (in thousands):</w:t>
      </w:r>
    </w:p>
    <w:p>
      <w:pPr>
        <w:spacing w:after="0" w:line="165" w:lineRule="exact"/>
        <w:rPr>
          <w:sz w:val="20"/>
          <w:szCs w:val="20"/>
          <w:color w:val="auto"/>
        </w:rPr>
      </w:pPr>
    </w:p>
    <w:tbl>
      <w:tblPr>
        <w:tblLayout w:type="fixed"/>
        <w:tblInd w:w="14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4060" w:type="dxa"/>
            <w:vAlign w:val="bottom"/>
          </w:tcPr>
          <w:p>
            <w:pPr>
              <w:spacing w:after="0"/>
              <w:rPr>
                <w:sz w:val="17"/>
                <w:szCs w:val="17"/>
                <w:color w:val="auto"/>
              </w:rPr>
            </w:pPr>
          </w:p>
        </w:tc>
        <w:tc>
          <w:tcPr>
            <w:tcW w:w="92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b w:val="1"/>
                <w:bCs w:val="1"/>
                <w:color w:val="auto"/>
              </w:rPr>
              <w:t>2014</w:t>
            </w:r>
          </w:p>
        </w:tc>
        <w:tc>
          <w:tcPr>
            <w:tcW w:w="500" w:type="dxa"/>
            <w:vAlign w:val="bottom"/>
            <w:tcBorders>
              <w:bottom w:val="single" w:sz="8" w:color="auto"/>
            </w:tcBorders>
          </w:tcPr>
          <w:p>
            <w:pPr>
              <w:spacing w:after="0"/>
              <w:rPr>
                <w:sz w:val="17"/>
                <w:szCs w:val="17"/>
                <w:color w:val="auto"/>
              </w:rPr>
            </w:pPr>
          </w:p>
        </w:tc>
        <w:tc>
          <w:tcPr>
            <w:tcW w:w="106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w w:val="95"/>
              </w:rPr>
              <w:t>2013</w:t>
            </w:r>
          </w:p>
        </w:tc>
        <w:tc>
          <w:tcPr>
            <w:tcW w:w="600" w:type="dxa"/>
            <w:vAlign w:val="bottom"/>
          </w:tcPr>
          <w:p>
            <w:pPr>
              <w:spacing w:after="0"/>
              <w:rPr>
                <w:sz w:val="17"/>
                <w:szCs w:val="17"/>
                <w:color w:val="auto"/>
              </w:rPr>
            </w:pPr>
          </w:p>
        </w:tc>
      </w:tr>
      <w:tr>
        <w:trPr>
          <w:trHeight w:val="181"/>
        </w:trPr>
        <w:tc>
          <w:tcPr>
            <w:tcW w:w="4080" w:type="dxa"/>
            <w:vAlign w:val="bottom"/>
            <w:gridSpan w:val="2"/>
          </w:tcPr>
          <w:p>
            <w:pPr>
              <w:spacing w:after="0"/>
              <w:rPr>
                <w:sz w:val="20"/>
                <w:szCs w:val="20"/>
                <w:color w:val="auto"/>
              </w:rPr>
            </w:pPr>
            <w:r>
              <w:rPr>
                <w:rFonts w:ascii="Arial" w:cs="Arial" w:eastAsia="Arial" w:hAnsi="Arial"/>
                <w:sz w:val="15"/>
                <w:szCs w:val="15"/>
                <w:color w:val="auto"/>
              </w:rPr>
              <w:t>Net revenues:</w:t>
            </w:r>
          </w:p>
        </w:tc>
        <w:tc>
          <w:tcPr>
            <w:tcW w:w="9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FEI-NY</w:t>
            </w: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55,772</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52,567</w:t>
            </w:r>
          </w:p>
        </w:tc>
        <w:tc>
          <w:tcPr>
            <w:tcW w:w="6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Arial" w:cs="Arial" w:eastAsia="Arial" w:hAnsi="Arial"/>
                <w:sz w:val="15"/>
                <w:szCs w:val="15"/>
                <w:color w:val="auto"/>
              </w:rPr>
              <w:t>Gillam-FEI</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9,995</w:t>
            </w:r>
          </w:p>
        </w:tc>
        <w:tc>
          <w:tcPr>
            <w:tcW w:w="1060" w:type="dxa"/>
            <w:vAlign w:val="bottom"/>
          </w:tcPr>
          <w:p>
            <w:pPr>
              <w:ind w:left="4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11,825</w:t>
            </w:r>
          </w:p>
        </w:tc>
        <w:tc>
          <w:tcPr>
            <w:tcW w:w="600" w:type="dxa"/>
            <w:vAlign w:val="bottom"/>
          </w:tcPr>
          <w:p>
            <w:pPr>
              <w:ind w:left="40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FEI-Zyfer</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7,990</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10,523</w:t>
            </w:r>
          </w:p>
        </w:tc>
        <w:tc>
          <w:tcPr>
            <w:tcW w:w="600" w:type="dxa"/>
            <w:vAlign w:val="bottom"/>
            <w:shd w:val="clear" w:color="auto" w:fill="CCEEFF"/>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5"/>
                <w:szCs w:val="15"/>
                <w:color w:val="auto"/>
              </w:rPr>
              <w:t>less intersegment revenues</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(2,207</w:t>
            </w:r>
          </w:p>
        </w:tc>
        <w:tc>
          <w:tcPr>
            <w:tcW w:w="1060" w:type="dxa"/>
            <w:vAlign w:val="bottom"/>
          </w:tcPr>
          <w:p>
            <w:pPr>
              <w:ind w:left="40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(5,983</w:t>
            </w:r>
          </w:p>
        </w:tc>
        <w:tc>
          <w:tcPr>
            <w:tcW w:w="600" w:type="dxa"/>
            <w:vAlign w:val="bottom"/>
          </w:tcPr>
          <w:p>
            <w:pPr>
              <w:ind w:left="400"/>
              <w:spacing w:after="0"/>
              <w:rPr>
                <w:sz w:val="20"/>
                <w:szCs w:val="20"/>
                <w:color w:val="auto"/>
              </w:rPr>
            </w:pPr>
            <w:r>
              <w:rPr>
                <w:rFonts w:ascii="Arial" w:cs="Arial" w:eastAsia="Arial" w:hAnsi="Arial"/>
                <w:sz w:val="15"/>
                <w:szCs w:val="15"/>
                <w:color w:val="auto"/>
              </w:rPr>
              <w:t>)**</w:t>
            </w:r>
          </w:p>
        </w:tc>
      </w:tr>
      <w:tr>
        <w:trPr>
          <w:trHeight w:val="222"/>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Consolidated revenues</w:t>
            </w:r>
          </w:p>
        </w:tc>
        <w:tc>
          <w:tcPr>
            <w:tcW w:w="9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71,550</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68,932</w:t>
            </w:r>
          </w:p>
        </w:tc>
        <w:tc>
          <w:tcPr>
            <w:tcW w:w="600" w:type="dxa"/>
            <w:vAlign w:val="bottom"/>
            <w:tcBorders>
              <w:bottom w:val="single" w:sz="8" w:color="CCEEFF"/>
            </w:tcBorders>
            <w:shd w:val="clear" w:color="auto" w:fill="CCEEFF"/>
          </w:tcPr>
          <w:p>
            <w:pPr>
              <w:spacing w:after="0"/>
              <w:rPr>
                <w:sz w:val="19"/>
                <w:szCs w:val="19"/>
                <w:color w:val="auto"/>
              </w:rPr>
            </w:pPr>
          </w:p>
        </w:tc>
      </w:tr>
      <w:tr>
        <w:trPr>
          <w:trHeight w:val="167"/>
        </w:trPr>
        <w:tc>
          <w:tcPr>
            <w:tcW w:w="20" w:type="dxa"/>
            <w:vAlign w:val="bottom"/>
          </w:tcPr>
          <w:p>
            <w:pPr>
              <w:spacing w:after="0"/>
              <w:rPr>
                <w:sz w:val="14"/>
                <w:szCs w:val="14"/>
                <w:color w:val="auto"/>
              </w:rPr>
            </w:pPr>
          </w:p>
        </w:tc>
        <w:tc>
          <w:tcPr>
            <w:tcW w:w="4060" w:type="dxa"/>
            <w:vAlign w:val="bottom"/>
          </w:tcPr>
          <w:p>
            <w:pPr>
              <w:spacing w:after="0" w:line="167" w:lineRule="exact"/>
              <w:rPr>
                <w:sz w:val="20"/>
                <w:szCs w:val="20"/>
                <w:color w:val="auto"/>
              </w:rPr>
            </w:pPr>
            <w:r>
              <w:rPr>
                <w:rFonts w:ascii="Arial" w:cs="Arial" w:eastAsia="Arial" w:hAnsi="Arial"/>
                <w:sz w:val="15"/>
                <w:szCs w:val="15"/>
                <w:color w:val="auto"/>
              </w:rPr>
              <w:t>Operating profit (loss):</w:t>
            </w:r>
          </w:p>
        </w:tc>
        <w:tc>
          <w:tcPr>
            <w:tcW w:w="9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FEI-NY</w:t>
            </w:r>
          </w:p>
        </w:tc>
        <w:tc>
          <w:tcPr>
            <w:tcW w:w="920" w:type="dxa"/>
            <w:vAlign w:val="bottom"/>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6,403</w:t>
            </w:r>
          </w:p>
        </w:tc>
        <w:tc>
          <w:tcPr>
            <w:tcW w:w="10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7,334</w:t>
            </w:r>
          </w:p>
        </w:tc>
        <w:tc>
          <w:tcPr>
            <w:tcW w:w="6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4060" w:type="dxa"/>
            <w:vAlign w:val="bottom"/>
          </w:tcPr>
          <w:p>
            <w:pPr>
              <w:ind w:left="120"/>
              <w:spacing w:after="0"/>
              <w:rPr>
                <w:sz w:val="20"/>
                <w:szCs w:val="20"/>
                <w:color w:val="auto"/>
              </w:rPr>
            </w:pPr>
            <w:r>
              <w:rPr>
                <w:rFonts w:ascii="Arial" w:cs="Arial" w:eastAsia="Arial" w:hAnsi="Arial"/>
                <w:sz w:val="15"/>
                <w:szCs w:val="15"/>
                <w:color w:val="auto"/>
              </w:rPr>
              <w:t>Gillam-FEI</w:t>
            </w:r>
          </w:p>
        </w:tc>
        <w:tc>
          <w:tcPr>
            <w:tcW w:w="9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(520</w:t>
            </w:r>
          </w:p>
        </w:tc>
        <w:tc>
          <w:tcPr>
            <w:tcW w:w="1060" w:type="dxa"/>
            <w:vAlign w:val="bottom"/>
          </w:tcPr>
          <w:p>
            <w:pPr>
              <w:ind w:left="400"/>
              <w:spacing w:after="0"/>
              <w:rPr>
                <w:sz w:val="20"/>
                <w:szCs w:val="20"/>
                <w:color w:val="auto"/>
              </w:rPr>
            </w:pPr>
            <w:r>
              <w:rPr>
                <w:rFonts w:ascii="Arial" w:cs="Arial" w:eastAsia="Arial" w:hAnsi="Arial"/>
                <w:sz w:val="15"/>
                <w:szCs w:val="15"/>
                <w:color w:val="auto"/>
              </w:rPr>
              <w:t>)**</w:t>
            </w: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(1,643</w:t>
            </w:r>
          </w:p>
        </w:tc>
        <w:tc>
          <w:tcPr>
            <w:tcW w:w="600" w:type="dxa"/>
            <w:vAlign w:val="bottom"/>
          </w:tcPr>
          <w:p>
            <w:pPr>
              <w:ind w:left="400"/>
              <w:spacing w:after="0"/>
              <w:rPr>
                <w:sz w:val="20"/>
                <w:szCs w:val="20"/>
                <w:color w:val="auto"/>
              </w:rPr>
            </w:pPr>
            <w:r>
              <w:rPr>
                <w:rFonts w:ascii="Arial" w:cs="Arial" w:eastAsia="Arial" w:hAnsi="Arial"/>
                <w:sz w:val="15"/>
                <w:szCs w:val="15"/>
                <w:color w:val="auto"/>
              </w:rPr>
              <w:t>)**</w:t>
            </w:r>
          </w:p>
        </w:tc>
      </w:tr>
      <w:tr>
        <w:trPr>
          <w:trHeight w:val="182"/>
        </w:trPr>
        <w:tc>
          <w:tcPr>
            <w:tcW w:w="20" w:type="dxa"/>
            <w:vAlign w:val="bottom"/>
          </w:tcPr>
          <w:p>
            <w:pPr>
              <w:spacing w:after="0"/>
              <w:rPr>
                <w:sz w:val="15"/>
                <w:szCs w:val="15"/>
                <w:color w:val="auto"/>
              </w:rPr>
            </w:pPr>
          </w:p>
        </w:tc>
        <w:tc>
          <w:tcPr>
            <w:tcW w:w="40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FEI-Zyfer</w:t>
            </w:r>
          </w:p>
        </w:tc>
        <w:tc>
          <w:tcPr>
            <w:tcW w:w="9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w:t>
            </w:r>
          </w:p>
        </w:tc>
        <w:tc>
          <w:tcPr>
            <w:tcW w:w="106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c>
          <w:tcPr>
            <w:tcW w:w="5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(552</w:t>
            </w:r>
          </w:p>
        </w:tc>
        <w:tc>
          <w:tcPr>
            <w:tcW w:w="600" w:type="dxa"/>
            <w:vAlign w:val="bottom"/>
            <w:shd w:val="clear" w:color="auto" w:fill="CCEEFF"/>
          </w:tcPr>
          <w:p>
            <w:pPr>
              <w:ind w:left="400"/>
              <w:spacing w:after="0"/>
              <w:rPr>
                <w:sz w:val="20"/>
                <w:szCs w:val="20"/>
                <w:color w:val="auto"/>
              </w:rPr>
            </w:pPr>
            <w:r>
              <w:rPr>
                <w:rFonts w:ascii="Arial" w:cs="Arial" w:eastAsia="Arial" w:hAnsi="Arial"/>
                <w:sz w:val="15"/>
                <w:szCs w:val="15"/>
                <w:color w:val="auto"/>
              </w:rPr>
              <w:t>)</w:t>
            </w:r>
          </w:p>
        </w:tc>
      </w:tr>
      <w:tr>
        <w:trPr>
          <w:trHeight w:val="184"/>
        </w:trPr>
        <w:tc>
          <w:tcPr>
            <w:tcW w:w="20" w:type="dxa"/>
            <w:vAlign w:val="bottom"/>
          </w:tcPr>
          <w:p>
            <w:pPr>
              <w:spacing w:after="0"/>
              <w:rPr>
                <w:sz w:val="16"/>
                <w:szCs w:val="16"/>
                <w:color w:val="auto"/>
              </w:rPr>
            </w:pPr>
          </w:p>
        </w:tc>
        <w:tc>
          <w:tcPr>
            <w:tcW w:w="4060" w:type="dxa"/>
            <w:vAlign w:val="bottom"/>
          </w:tcPr>
          <w:p>
            <w:pPr>
              <w:ind w:left="120"/>
              <w:spacing w:after="0"/>
              <w:rPr>
                <w:sz w:val="20"/>
                <w:szCs w:val="20"/>
                <w:color w:val="auto"/>
              </w:rPr>
            </w:pPr>
            <w:r>
              <w:rPr>
                <w:rFonts w:ascii="Arial" w:cs="Arial" w:eastAsia="Arial" w:hAnsi="Arial"/>
                <w:sz w:val="15"/>
                <w:szCs w:val="15"/>
                <w:color w:val="auto"/>
              </w:rPr>
              <w:t>Corporate</w:t>
            </w:r>
          </w:p>
        </w:tc>
        <w:tc>
          <w:tcPr>
            <w:tcW w:w="9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(384</w:t>
            </w:r>
          </w:p>
        </w:tc>
        <w:tc>
          <w:tcPr>
            <w:tcW w:w="1060" w:type="dxa"/>
            <w:vAlign w:val="bottom"/>
          </w:tcPr>
          <w:p>
            <w:pPr>
              <w:ind w:left="400"/>
              <w:spacing w:after="0"/>
              <w:rPr>
                <w:sz w:val="20"/>
                <w:szCs w:val="20"/>
                <w:color w:val="auto"/>
              </w:rPr>
            </w:pPr>
            <w:r>
              <w:rPr>
                <w:rFonts w:ascii="Arial" w:cs="Arial" w:eastAsia="Arial" w:hAnsi="Arial"/>
                <w:sz w:val="15"/>
                <w:szCs w:val="15"/>
                <w:color w:val="auto"/>
              </w:rPr>
              <w:t>)</w:t>
            </w:r>
          </w:p>
        </w:tc>
        <w:tc>
          <w:tcPr>
            <w:tcW w:w="5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(460</w:t>
            </w:r>
          </w:p>
        </w:tc>
        <w:tc>
          <w:tcPr>
            <w:tcW w:w="600" w:type="dxa"/>
            <w:vAlign w:val="bottom"/>
          </w:tcPr>
          <w:p>
            <w:pPr>
              <w:ind w:left="400"/>
              <w:spacing w:after="0"/>
              <w:rPr>
                <w:sz w:val="20"/>
                <w:szCs w:val="20"/>
                <w:color w:val="auto"/>
              </w:rPr>
            </w:pPr>
            <w:r>
              <w:rPr>
                <w:rFonts w:ascii="Arial" w:cs="Arial" w:eastAsia="Arial" w:hAnsi="Arial"/>
                <w:sz w:val="15"/>
                <w:szCs w:val="15"/>
                <w:color w:val="auto"/>
              </w:rPr>
              <w:t>)</w:t>
            </w:r>
          </w:p>
        </w:tc>
      </w:tr>
      <w:tr>
        <w:trPr>
          <w:trHeight w:val="222"/>
        </w:trPr>
        <w:tc>
          <w:tcPr>
            <w:tcW w:w="20" w:type="dxa"/>
            <w:vAlign w:val="bottom"/>
          </w:tcPr>
          <w:p>
            <w:pPr>
              <w:spacing w:after="0"/>
              <w:rPr>
                <w:sz w:val="19"/>
                <w:szCs w:val="19"/>
                <w:color w:val="auto"/>
              </w:rPr>
            </w:pPr>
          </w:p>
        </w:tc>
        <w:tc>
          <w:tcPr>
            <w:tcW w:w="4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Consolidated operating profit</w:t>
            </w:r>
          </w:p>
        </w:tc>
        <w:tc>
          <w:tcPr>
            <w:tcW w:w="920" w:type="dxa"/>
            <w:vAlign w:val="bottom"/>
            <w:tcBorders>
              <w:bottom w:val="single" w:sz="8" w:color="auto"/>
            </w:tcBorders>
            <w:shd w:val="clear" w:color="auto" w:fill="CCEEFF"/>
          </w:tcPr>
          <w:p>
            <w:pPr>
              <w:jc w:val="right"/>
              <w:ind w:right="364"/>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4,873</w:t>
            </w:r>
          </w:p>
        </w:tc>
        <w:tc>
          <w:tcPr>
            <w:tcW w:w="106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4,679</w:t>
            </w:r>
          </w:p>
        </w:tc>
        <w:tc>
          <w:tcPr>
            <w:tcW w:w="600" w:type="dxa"/>
            <w:vAlign w:val="bottom"/>
            <w:tcBorders>
              <w:bottom w:val="single" w:sz="8" w:color="CCEEFF"/>
            </w:tcBorders>
            <w:shd w:val="clear" w:color="auto" w:fill="CCEEFF"/>
          </w:tcPr>
          <w:p>
            <w:pPr>
              <w:spacing w:after="0"/>
              <w:rPr>
                <w:sz w:val="19"/>
                <w:szCs w:val="19"/>
                <w:color w:val="auto"/>
              </w:rPr>
            </w:pPr>
          </w:p>
        </w:tc>
      </w:tr>
    </w:tbl>
    <w:p>
      <w:pPr>
        <w:spacing w:after="0" w:line="194" w:lineRule="exact"/>
        <w:rPr>
          <w:sz w:val="20"/>
          <w:szCs w:val="20"/>
          <w:color w:val="auto"/>
        </w:rPr>
      </w:pPr>
    </w:p>
    <w:p>
      <w:pPr>
        <w:jc w:val="both"/>
        <w:ind w:left="540"/>
        <w:spacing w:after="0" w:line="279" w:lineRule="auto"/>
        <w:rPr>
          <w:sz w:val="20"/>
          <w:szCs w:val="20"/>
          <w:color w:val="auto"/>
        </w:rPr>
      </w:pPr>
      <w:r>
        <w:rPr>
          <w:rFonts w:ascii="Arial" w:cs="Arial" w:eastAsia="Arial" w:hAnsi="Arial"/>
          <w:sz w:val="14"/>
          <w:szCs w:val="14"/>
          <w:color w:val="auto"/>
        </w:rPr>
        <w:t>**For fiscal years ended April 30, 2014 and 2013, includes Gillam-FEI intersegment sales of $1.6 million and $4.1 million, respectively, to the FEI-NY and FEI-Zyfer segments. Such sales consist principally of design and development of automatic test equipment for satellite hardware production and manufacture of assemblies and units of a wireline synchronization product for ultimate production and sale in the U.S. In the Gillam-FEI segment, these transactions reduced the operating loss in each of the fiscal years. In addition, during the fourth quarter of fiscal year 2013, Gillam-FEI wrote down $1.4 million of accumulated costs related to hardware and software design of a product in connection with the French government’s smart electrical grid initiative. Based on slower than anticipated rollout of this project, the Company has less visibility regarding the probable schedule for obtaining production-level orders, which are now anticipated to occur no earlier than fiscal year 2015.</w:t>
      </w: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8" w:name="page49"/>
    <w:bookmarkEnd w:id="48"/>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 - Continued</w:t>
      </w:r>
    </w:p>
    <w:p>
      <w:pPr>
        <w:spacing w:after="0" w:line="177" w:lineRule="exact"/>
        <w:rPr>
          <w:sz w:val="20"/>
          <w:szCs w:val="20"/>
          <w:color w:val="auto"/>
        </w:rPr>
      </w:pPr>
    </w:p>
    <w:tbl>
      <w:tblPr>
        <w:tblLayout w:type="fixed"/>
        <w:tblInd w:w="1420" w:type="dxa"/>
        <w:tblCellMar>
          <w:top w:w="0" w:type="dxa"/>
          <w:left w:w="0" w:type="dxa"/>
          <w:bottom w:w="0" w:type="dxa"/>
          <w:right w:w="0" w:type="dxa"/>
        </w:tblCellMar>
      </w:tblPr>
      <w:tr>
        <w:trPr>
          <w:trHeight w:val="199"/>
        </w:trPr>
        <w:tc>
          <w:tcPr>
            <w:tcW w:w="20" w:type="dxa"/>
            <w:vAlign w:val="bottom"/>
          </w:tcPr>
          <w:p>
            <w:pPr>
              <w:spacing w:after="0"/>
              <w:rPr>
                <w:sz w:val="17"/>
                <w:szCs w:val="17"/>
                <w:color w:val="auto"/>
              </w:rPr>
            </w:pPr>
          </w:p>
        </w:tc>
        <w:tc>
          <w:tcPr>
            <w:tcW w:w="548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2014</w:t>
            </w:r>
          </w:p>
        </w:tc>
        <w:tc>
          <w:tcPr>
            <w:tcW w:w="5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4"/>
              <w:spacing w:after="0"/>
              <w:rPr>
                <w:sz w:val="20"/>
                <w:szCs w:val="20"/>
                <w:color w:val="auto"/>
              </w:rPr>
            </w:pPr>
            <w:r>
              <w:rPr>
                <w:rFonts w:ascii="Arial" w:cs="Arial" w:eastAsia="Arial" w:hAnsi="Arial"/>
                <w:sz w:val="15"/>
                <w:szCs w:val="15"/>
                <w:b w:val="1"/>
                <w:bCs w:val="1"/>
                <w:color w:val="auto"/>
              </w:rPr>
              <w:t>2013</w:t>
            </w:r>
          </w:p>
        </w:tc>
        <w:tc>
          <w:tcPr>
            <w:tcW w:w="100" w:type="dxa"/>
            <w:vAlign w:val="bottom"/>
          </w:tcPr>
          <w:p>
            <w:pPr>
              <w:spacing w:after="0"/>
              <w:rPr>
                <w:sz w:val="17"/>
                <w:szCs w:val="17"/>
                <w:color w:val="auto"/>
              </w:rPr>
            </w:pPr>
          </w:p>
        </w:tc>
      </w:tr>
      <w:tr>
        <w:trPr>
          <w:trHeight w:val="181"/>
        </w:trPr>
        <w:tc>
          <w:tcPr>
            <w:tcW w:w="5500" w:type="dxa"/>
            <w:vAlign w:val="bottom"/>
            <w:gridSpan w:val="2"/>
          </w:tcPr>
          <w:p>
            <w:pPr>
              <w:spacing w:after="0"/>
              <w:rPr>
                <w:sz w:val="20"/>
                <w:szCs w:val="20"/>
                <w:color w:val="auto"/>
              </w:rPr>
            </w:pPr>
            <w:r>
              <w:rPr>
                <w:rFonts w:ascii="Arial" w:cs="Arial" w:eastAsia="Arial" w:hAnsi="Arial"/>
                <w:sz w:val="15"/>
                <w:szCs w:val="15"/>
                <w:color w:val="auto"/>
              </w:rPr>
              <w:t>Identifiable assets:</w:t>
            </w:r>
          </w:p>
        </w:tc>
        <w:tc>
          <w:tcPr>
            <w:tcW w:w="8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FEI-NY (approximately $3 million in China)</w:t>
            </w:r>
          </w:p>
        </w:tc>
        <w:tc>
          <w:tcPr>
            <w:tcW w:w="860" w:type="dxa"/>
            <w:vAlign w:val="bottom"/>
            <w:shd w:val="clear" w:color="auto" w:fill="CCEEFF"/>
          </w:tcPr>
          <w:p>
            <w:pPr>
              <w:jc w:val="right"/>
              <w:ind w:right="704"/>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62,969</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55,508</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Gillam-FEI (all in Belgium or France)</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19,595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18,071</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FEI-Zyfer</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11,220</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10,418</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less intersegment receivables</w:t>
            </w:r>
          </w:p>
        </w:tc>
        <w:tc>
          <w:tcPr>
            <w:tcW w:w="860" w:type="dxa"/>
            <w:vAlign w:val="bottom"/>
          </w:tcPr>
          <w:p>
            <w:pPr>
              <w:spacing w:after="0"/>
              <w:rPr>
                <w:sz w:val="15"/>
                <w:szCs w:val="15"/>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5"/>
                <w:szCs w:val="15"/>
                <w:color w:val="auto"/>
                <w:w w:val="96"/>
              </w:rPr>
              <w:t>(19,819)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5"/>
                <w:szCs w:val="15"/>
                <w:color w:val="auto"/>
              </w:rPr>
              <w:t>(18,903)</w:t>
            </w:r>
          </w:p>
        </w:tc>
      </w:tr>
      <w:tr>
        <w:trPr>
          <w:trHeight w:val="184"/>
        </w:trPr>
        <w:tc>
          <w:tcPr>
            <w:tcW w:w="20" w:type="dxa"/>
            <w:vAlign w:val="bottom"/>
          </w:tcPr>
          <w:p>
            <w:pPr>
              <w:spacing w:after="0"/>
              <w:rPr>
                <w:sz w:val="16"/>
                <w:szCs w:val="16"/>
                <w:color w:val="auto"/>
              </w:rPr>
            </w:pPr>
          </w:p>
        </w:tc>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8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45,496</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43,815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Consolidated identifiable assets</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w w:val="88"/>
              </w:rPr>
              <w:t>119,461</w:t>
            </w:r>
          </w:p>
        </w:tc>
        <w:tc>
          <w:tcPr>
            <w:tcW w:w="12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108,909</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7"/>
        </w:trPr>
        <w:tc>
          <w:tcPr>
            <w:tcW w:w="20" w:type="dxa"/>
            <w:vAlign w:val="bottom"/>
          </w:tcPr>
          <w:p>
            <w:pPr>
              <w:spacing w:after="0"/>
              <w:rPr>
                <w:sz w:val="14"/>
                <w:szCs w:val="14"/>
                <w:color w:val="auto"/>
              </w:rPr>
            </w:pPr>
          </w:p>
        </w:tc>
        <w:tc>
          <w:tcPr>
            <w:tcW w:w="5480" w:type="dxa"/>
            <w:vAlign w:val="bottom"/>
            <w:shd w:val="clear" w:color="auto" w:fill="CCEEFF"/>
          </w:tcPr>
          <w:p>
            <w:pPr>
              <w:spacing w:after="0" w:line="167" w:lineRule="exact"/>
              <w:rPr>
                <w:sz w:val="20"/>
                <w:szCs w:val="20"/>
                <w:color w:val="auto"/>
              </w:rPr>
            </w:pPr>
            <w:r>
              <w:rPr>
                <w:rFonts w:ascii="Arial" w:cs="Arial" w:eastAsia="Arial" w:hAnsi="Arial"/>
                <w:sz w:val="15"/>
                <w:szCs w:val="15"/>
                <w:color w:val="auto"/>
              </w:rPr>
              <w:t>Depreciation and amortization (allocated):</w:t>
            </w:r>
          </w:p>
        </w:tc>
        <w:tc>
          <w:tcPr>
            <w:tcW w:w="86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FEI-NY</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2,021</w:t>
            </w:r>
          </w:p>
        </w:tc>
        <w:tc>
          <w:tcPr>
            <w:tcW w:w="12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1,892</w:t>
            </w:r>
          </w:p>
        </w:tc>
        <w:tc>
          <w:tcPr>
            <w:tcW w:w="100" w:type="dxa"/>
            <w:vAlign w:val="bottom"/>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Gillam-FEI</w:t>
            </w:r>
          </w:p>
        </w:tc>
        <w:tc>
          <w:tcPr>
            <w:tcW w:w="86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304</w:t>
            </w:r>
          </w:p>
        </w:tc>
        <w:tc>
          <w:tcPr>
            <w:tcW w:w="100" w:type="dxa"/>
            <w:vAlign w:val="bottom"/>
            <w:shd w:val="clear" w:color="auto" w:fill="CCEEFF"/>
          </w:tcPr>
          <w:p>
            <w:pPr>
              <w:spacing w:after="0"/>
              <w:rPr>
                <w:sz w:val="15"/>
                <w:szCs w:val="15"/>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FEI-Zyfer</w:t>
            </w:r>
          </w:p>
        </w:tc>
        <w:tc>
          <w:tcPr>
            <w:tcW w:w="8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174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202</w:t>
            </w:r>
          </w:p>
        </w:tc>
        <w:tc>
          <w:tcPr>
            <w:tcW w:w="100" w:type="dxa"/>
            <w:vAlign w:val="bottom"/>
          </w:tcPr>
          <w:p>
            <w:pPr>
              <w:spacing w:after="0"/>
              <w:rPr>
                <w:sz w:val="15"/>
                <w:szCs w:val="15"/>
                <w:color w:val="auto"/>
              </w:rPr>
            </w:pPr>
          </w:p>
        </w:tc>
      </w:tr>
      <w:tr>
        <w:trPr>
          <w:trHeight w:val="184"/>
        </w:trPr>
        <w:tc>
          <w:tcPr>
            <w:tcW w:w="20" w:type="dxa"/>
            <w:vAlign w:val="bottom"/>
          </w:tcPr>
          <w:p>
            <w:pPr>
              <w:spacing w:after="0"/>
              <w:rPr>
                <w:sz w:val="16"/>
                <w:szCs w:val="16"/>
                <w:color w:val="auto"/>
              </w:rPr>
            </w:pPr>
          </w:p>
        </w:tc>
        <w:tc>
          <w:tcPr>
            <w:tcW w:w="54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5"/>
                <w:szCs w:val="15"/>
                <w:color w:val="auto"/>
              </w:rPr>
              <w:t>Corporate</w:t>
            </w:r>
          </w:p>
        </w:tc>
        <w:tc>
          <w:tcPr>
            <w:tcW w:w="86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100" w:type="dxa"/>
            <w:vAlign w:val="bottom"/>
            <w:tcBorders>
              <w:bottom w:val="single" w:sz="8" w:color="CCEEFF"/>
            </w:tcBorders>
            <w:shd w:val="clear" w:color="auto" w:fill="CCEEFF"/>
          </w:tcPr>
          <w:p>
            <w:pPr>
              <w:spacing w:after="0"/>
              <w:rPr>
                <w:sz w:val="16"/>
                <w:szCs w:val="16"/>
                <w:color w:val="auto"/>
              </w:rPr>
            </w:pPr>
          </w:p>
        </w:tc>
      </w:tr>
      <w:tr>
        <w:trPr>
          <w:trHeight w:val="182"/>
        </w:trPr>
        <w:tc>
          <w:tcPr>
            <w:tcW w:w="20" w:type="dxa"/>
            <w:vAlign w:val="bottom"/>
          </w:tcPr>
          <w:p>
            <w:pPr>
              <w:spacing w:after="0"/>
              <w:rPr>
                <w:sz w:val="15"/>
                <w:szCs w:val="15"/>
                <w:color w:val="auto"/>
              </w:rPr>
            </w:pPr>
          </w:p>
        </w:tc>
        <w:tc>
          <w:tcPr>
            <w:tcW w:w="5480" w:type="dxa"/>
            <w:vAlign w:val="bottom"/>
          </w:tcPr>
          <w:p>
            <w:pPr>
              <w:ind w:left="120"/>
              <w:spacing w:after="0"/>
              <w:rPr>
                <w:sz w:val="20"/>
                <w:szCs w:val="20"/>
                <w:color w:val="auto"/>
              </w:rPr>
            </w:pPr>
            <w:r>
              <w:rPr>
                <w:rFonts w:ascii="Arial" w:cs="Arial" w:eastAsia="Arial" w:hAnsi="Arial"/>
                <w:sz w:val="15"/>
                <w:szCs w:val="15"/>
                <w:color w:val="auto"/>
              </w:rPr>
              <w:t>Consolidated depreciation and amortization expense</w:t>
            </w:r>
          </w:p>
        </w:tc>
        <w:tc>
          <w:tcPr>
            <w:tcW w:w="860" w:type="dxa"/>
            <w:vAlign w:val="bottom"/>
          </w:tcPr>
          <w:p>
            <w:pPr>
              <w:jc w:val="right"/>
              <w:ind w:right="704"/>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5"/>
                <w:szCs w:val="15"/>
                <w:color w:val="auto"/>
              </w:rPr>
              <w:t>2,471</w:t>
            </w:r>
          </w:p>
        </w:tc>
        <w:tc>
          <w:tcPr>
            <w:tcW w:w="120" w:type="dxa"/>
            <w:vAlign w:val="bottom"/>
          </w:tcPr>
          <w:p>
            <w:pPr>
              <w:spacing w:after="0"/>
              <w:rPr>
                <w:sz w:val="15"/>
                <w:szCs w:val="15"/>
                <w:color w:val="auto"/>
              </w:rPr>
            </w:pPr>
          </w:p>
        </w:tc>
        <w:tc>
          <w:tcPr>
            <w:tcW w:w="380" w:type="dxa"/>
            <w:vAlign w:val="bottom"/>
            <w:gridSpan w:val="2"/>
          </w:tcPr>
          <w:p>
            <w:pPr>
              <w:jc w:val="right"/>
              <w:ind w:right="240"/>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2,413</w:t>
            </w:r>
          </w:p>
        </w:tc>
        <w:tc>
          <w:tcPr>
            <w:tcW w:w="10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Major Customers</w:t>
      </w:r>
    </w:p>
    <w:p>
      <w:pPr>
        <w:spacing w:after="0" w:line="213" w:lineRule="exact"/>
        <w:rPr>
          <w:sz w:val="20"/>
          <w:szCs w:val="20"/>
          <w:color w:val="auto"/>
        </w:rPr>
      </w:pPr>
    </w:p>
    <w:p>
      <w:pPr>
        <w:jc w:val="both"/>
        <w:ind w:right="20" w:firstLine="408"/>
        <w:spacing w:after="0" w:line="277" w:lineRule="auto"/>
        <w:rPr>
          <w:sz w:val="20"/>
          <w:szCs w:val="20"/>
          <w:color w:val="auto"/>
        </w:rPr>
      </w:pPr>
      <w:r>
        <w:rPr>
          <w:rFonts w:ascii="Arial" w:cs="Arial" w:eastAsia="Arial" w:hAnsi="Arial"/>
          <w:sz w:val="15"/>
          <w:szCs w:val="15"/>
          <w:color w:val="auto"/>
        </w:rPr>
        <w:t>The Company's products are sold to both commercial and governmental customers. For the years ended April 30, 2014 and 2013, approximately 54% and 62% respectively, of the Company's sales were made under contracts to the U.S. Government or subcontracts for U.S. Government end-use.</w:t>
      </w:r>
    </w:p>
    <w:p>
      <w:pPr>
        <w:spacing w:after="0" w:line="169"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In fiscal year 2014, sales to two customers of the FEI-NY segment aggregated $29.4 million or 53% of that segment’s total sales. Each of these customers also exceeded 10% of the Company’s consolidated revenues. During the year ended April 30, 2014, in the Gillam-FEI segment, sales to one customer exceeded 10% of that segment’s revenues. In the FEI-Zyfer segment, one customer accounted for more than 10% of that segment’s sales. None of the customers in the Gillam-FEI and FEI-Zyfer segments accounted for more than 10% of consolidated revenues.</w:t>
      </w:r>
    </w:p>
    <w:p>
      <w:pPr>
        <w:spacing w:after="0" w:line="180"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In fiscal year 2013, sales to three customers of the FEI-NY segment aggregated $34.1 million or 65% of that segment’s total sales. Each of these customers also exceeded 10% of the Company’s consolidated revenues. During the year ended April 30, 2013, in the Gillam-FEI segment, sales to one customer exceeded 10% of that segment’s revenues. In the FEI-Zyfer segment, two customers accounted for more than 10% of that segment’s sales. None of the customers in the Gillam-FEI and FEI-Zyfer segments accounted for more than 10% of consolidated revenues.</w:t>
      </w:r>
    </w:p>
    <w:p>
      <w:pPr>
        <w:spacing w:after="0" w:line="180"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The loss by the Company of any one of these customers would have a material adverse effect on the Company’s business. The Company believes its relationship with these customers to be mutually satisfactory. Sales to major customers above can include commercial and governmental end users.</w:t>
      </w: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49" w:name="page50"/>
    <w:bookmarkEnd w:id="49"/>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FREQUENCY ELECTRONICS, INC. AND SUBSIDIARIES</w:t>
      </w:r>
    </w:p>
    <w:p>
      <w:pPr>
        <w:spacing w:after="0" w:line="22"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NOTES TO CONSOLIDATED FINANCIAL STATEMENTS - Continued</w:t>
      </w:r>
    </w:p>
    <w:p>
      <w:pPr>
        <w:spacing w:after="0" w:line="204" w:lineRule="exact"/>
        <w:rPr>
          <w:sz w:val="20"/>
          <w:szCs w:val="20"/>
          <w:color w:val="auto"/>
        </w:rPr>
      </w:pPr>
    </w:p>
    <w:p>
      <w:pPr>
        <w:ind w:left="9"/>
        <w:spacing w:after="0"/>
        <w:rPr>
          <w:sz w:val="20"/>
          <w:szCs w:val="20"/>
          <w:color w:val="auto"/>
        </w:rPr>
      </w:pPr>
      <w:r>
        <w:rPr>
          <w:rFonts w:ascii="Arial" w:cs="Arial" w:eastAsia="Arial" w:hAnsi="Arial"/>
          <w:sz w:val="15"/>
          <w:szCs w:val="15"/>
          <w:i w:val="1"/>
          <w:iCs w:val="1"/>
          <w:u w:val="single" w:color="auto"/>
          <w:color w:val="auto"/>
        </w:rPr>
        <w:t>Foreign Sales</w:t>
      </w:r>
    </w:p>
    <w:p>
      <w:pPr>
        <w:spacing w:after="0" w:line="213" w:lineRule="exact"/>
        <w:rPr>
          <w:sz w:val="20"/>
          <w:szCs w:val="20"/>
          <w:color w:val="auto"/>
        </w:rPr>
      </w:pPr>
    </w:p>
    <w:p>
      <w:pPr>
        <w:ind w:left="9" w:firstLine="408"/>
        <w:spacing w:after="0" w:line="277" w:lineRule="auto"/>
        <w:rPr>
          <w:sz w:val="20"/>
          <w:szCs w:val="20"/>
          <w:color w:val="auto"/>
        </w:rPr>
      </w:pPr>
      <w:r>
        <w:rPr>
          <w:rFonts w:ascii="Arial" w:cs="Arial" w:eastAsia="Arial" w:hAnsi="Arial"/>
          <w:sz w:val="15"/>
          <w:szCs w:val="15"/>
          <w:color w:val="auto"/>
        </w:rPr>
        <w:t>Revenues in each of the Company’s segments include sales to foreign governments or to companies located in foreign countries. Revenues, based on the location of the procurement entity and excluding intersegment sales, were derived from the following countries:</w:t>
      </w:r>
    </w:p>
    <w:p>
      <w:pPr>
        <w:spacing w:after="0" w:line="169" w:lineRule="exact"/>
        <w:rPr>
          <w:sz w:val="20"/>
          <w:szCs w:val="20"/>
          <w:color w:val="auto"/>
        </w:rPr>
      </w:pPr>
    </w:p>
    <w:tbl>
      <w:tblPr>
        <w:tblLayout w:type="fixed"/>
        <w:tblInd w:w="1429"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940" w:type="dxa"/>
            <w:vAlign w:val="bottom"/>
            <w:vMerge w:val="restart"/>
          </w:tcPr>
          <w:p>
            <w:pPr>
              <w:jc w:val="right"/>
              <w:ind w:right="4"/>
              <w:spacing w:after="0"/>
              <w:rPr>
                <w:sz w:val="20"/>
                <w:szCs w:val="20"/>
                <w:color w:val="auto"/>
              </w:rPr>
            </w:pPr>
            <w:r>
              <w:rPr>
                <w:rFonts w:ascii="Arial" w:cs="Arial" w:eastAsia="Arial" w:hAnsi="Arial"/>
                <w:sz w:val="15"/>
                <w:szCs w:val="15"/>
                <w:b w:val="1"/>
                <w:bCs w:val="1"/>
                <w:color w:val="auto"/>
              </w:rPr>
              <w:t>2014</w:t>
            </w:r>
          </w:p>
        </w:tc>
        <w:tc>
          <w:tcPr>
            <w:tcW w:w="1400" w:type="dxa"/>
            <w:vAlign w:val="bottom"/>
            <w:gridSpan w:val="2"/>
          </w:tcPr>
          <w:p>
            <w:pPr>
              <w:ind w:left="340"/>
              <w:spacing w:after="0"/>
              <w:rPr>
                <w:sz w:val="20"/>
                <w:szCs w:val="20"/>
                <w:color w:val="auto"/>
              </w:rPr>
            </w:pPr>
            <w:r>
              <w:rPr>
                <w:rFonts w:ascii="Arial" w:cs="Arial" w:eastAsia="Arial" w:hAnsi="Arial"/>
                <w:sz w:val="15"/>
                <w:szCs w:val="15"/>
                <w:color w:val="auto"/>
              </w:rPr>
              <w:t>(in thousands)</w:t>
            </w:r>
          </w:p>
        </w:tc>
        <w:tc>
          <w:tcPr>
            <w:tcW w:w="520" w:type="dxa"/>
            <w:vAlign w:val="bottom"/>
          </w:tcPr>
          <w:p>
            <w:pPr>
              <w:spacing w:after="0"/>
              <w:rPr>
                <w:sz w:val="16"/>
                <w:szCs w:val="16"/>
                <w:color w:val="auto"/>
              </w:rPr>
            </w:pPr>
          </w:p>
        </w:tc>
        <w:tc>
          <w:tcPr>
            <w:tcW w:w="920" w:type="dxa"/>
            <w:vAlign w:val="bottom"/>
            <w:vMerge w:val="restart"/>
          </w:tcPr>
          <w:p>
            <w:pPr>
              <w:jc w:val="right"/>
              <w:ind w:right="504"/>
              <w:spacing w:after="0"/>
              <w:rPr>
                <w:sz w:val="20"/>
                <w:szCs w:val="20"/>
                <w:color w:val="auto"/>
              </w:rPr>
            </w:pPr>
            <w:r>
              <w:rPr>
                <w:rFonts w:ascii="Arial" w:cs="Arial" w:eastAsia="Arial" w:hAnsi="Arial"/>
                <w:sz w:val="15"/>
                <w:szCs w:val="15"/>
                <w:b w:val="1"/>
                <w:bCs w:val="1"/>
                <w:color w:val="auto"/>
                <w:w w:val="95"/>
              </w:rPr>
              <w:t>2013</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9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France</w:t>
            </w:r>
          </w:p>
        </w:tc>
        <w:tc>
          <w:tcPr>
            <w:tcW w:w="940" w:type="dxa"/>
            <w:vAlign w:val="bottom"/>
            <w:shd w:val="clear" w:color="auto" w:fill="CCEEFF"/>
          </w:tcPr>
          <w:p>
            <w:pPr>
              <w:jc w:val="right"/>
              <w:ind w:right="384"/>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8,932</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9,527</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Belgium</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5,719</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4,240</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5"/>
                <w:szCs w:val="15"/>
                <w:color w:val="auto"/>
              </w:rPr>
              <w:t>Russia</w:t>
            </w:r>
          </w:p>
        </w:tc>
        <w:tc>
          <w:tcPr>
            <w:tcW w:w="94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9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w:t>
            </w:r>
          </w:p>
        </w:tc>
        <w:tc>
          <w:tcPr>
            <w:tcW w:w="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spacing w:after="0"/>
              <w:rPr>
                <w:sz w:val="20"/>
                <w:szCs w:val="20"/>
                <w:color w:val="auto"/>
              </w:rPr>
            </w:pPr>
            <w:r>
              <w:rPr>
                <w:rFonts w:ascii="Arial" w:cs="Arial" w:eastAsia="Arial" w:hAnsi="Arial"/>
                <w:sz w:val="15"/>
                <w:szCs w:val="15"/>
                <w:color w:val="auto"/>
              </w:rPr>
              <w:t>China</w:t>
            </w:r>
          </w:p>
        </w:tc>
        <w:tc>
          <w:tcPr>
            <w:tcW w:w="9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492</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565</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rPr>
              <w:t>Other</w:t>
            </w:r>
          </w:p>
        </w:tc>
        <w:tc>
          <w:tcPr>
            <w:tcW w:w="9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2,488</w:t>
            </w:r>
          </w:p>
        </w:tc>
        <w:tc>
          <w:tcPr>
            <w:tcW w:w="90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3,035</w:t>
            </w:r>
          </w:p>
        </w:tc>
        <w:tc>
          <w:tcPr>
            <w:tcW w:w="4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940" w:type="dxa"/>
            <w:vAlign w:val="bottom"/>
            <w:tcBorders>
              <w:bottom w:val="single" w:sz="8" w:color="auto"/>
            </w:tcBorders>
          </w:tcPr>
          <w:p>
            <w:pPr>
              <w:jc w:val="right"/>
              <w:ind w:right="384"/>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18,677</w:t>
            </w:r>
          </w:p>
        </w:tc>
        <w:tc>
          <w:tcPr>
            <w:tcW w:w="900" w:type="dxa"/>
            <w:vAlign w:val="bottom"/>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17,722</w:t>
            </w: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9" w:hanging="609"/>
        <w:spacing w:after="0"/>
        <w:tabs>
          <w:tab w:leader="none" w:pos="609" w:val="left"/>
        </w:tabs>
        <w:numPr>
          <w:ilvl w:val="0"/>
          <w:numId w:val="17"/>
        </w:numPr>
        <w:rPr>
          <w:rFonts w:ascii="Arial" w:cs="Arial" w:eastAsia="Arial" w:hAnsi="Arial"/>
          <w:sz w:val="15"/>
          <w:szCs w:val="15"/>
          <w:color w:val="auto"/>
        </w:rPr>
      </w:pPr>
      <w:r>
        <w:rPr>
          <w:rFonts w:ascii="Arial" w:cs="Arial" w:eastAsia="Arial" w:hAnsi="Arial"/>
          <w:sz w:val="15"/>
          <w:szCs w:val="15"/>
          <w:u w:val="single" w:color="auto"/>
          <w:color w:val="auto"/>
        </w:rPr>
        <w:t>Other Comprehensive Income (Loss)</w:t>
      </w:r>
    </w:p>
    <w:p>
      <w:pPr>
        <w:spacing w:after="0" w:line="213" w:lineRule="exact"/>
        <w:rPr>
          <w:sz w:val="20"/>
          <w:szCs w:val="20"/>
          <w:color w:val="auto"/>
        </w:rPr>
      </w:pPr>
    </w:p>
    <w:p>
      <w:pPr>
        <w:ind w:left="409"/>
        <w:spacing w:after="0"/>
        <w:rPr>
          <w:sz w:val="20"/>
          <w:szCs w:val="20"/>
          <w:color w:val="auto"/>
        </w:rPr>
      </w:pPr>
      <w:r>
        <w:rPr>
          <w:rFonts w:ascii="Arial" w:cs="Arial" w:eastAsia="Arial" w:hAnsi="Arial"/>
          <w:sz w:val="15"/>
          <w:szCs w:val="15"/>
          <w:color w:val="auto"/>
        </w:rPr>
        <w:t>In fiscal year 2014, the Company adopted guidance issued by the FASB that requires additional disclosure related to the impact of reclassification adjustments out of</w:t>
      </w:r>
    </w:p>
    <w:p>
      <w:pPr>
        <w:spacing w:after="0" w:line="18" w:lineRule="exact"/>
        <w:rPr>
          <w:sz w:val="20"/>
          <w:szCs w:val="20"/>
          <w:color w:val="auto"/>
        </w:rPr>
      </w:pPr>
    </w:p>
    <w:p>
      <w:pPr>
        <w:ind w:left="9"/>
        <w:spacing w:after="0"/>
        <w:rPr>
          <w:sz w:val="20"/>
          <w:szCs w:val="20"/>
          <w:color w:val="auto"/>
        </w:rPr>
      </w:pPr>
      <w:r>
        <w:rPr>
          <w:rFonts w:ascii="Arial" w:cs="Arial" w:eastAsia="Arial" w:hAnsi="Arial"/>
          <w:sz w:val="15"/>
          <w:szCs w:val="15"/>
          <w:color w:val="auto"/>
        </w:rPr>
        <w:t>Accumulated Other Comprehensive Income (“AOCI”) on net income. Changes in AOCI by component and reclassifications out of AOCI are as follows (in thousands):</w:t>
      </w:r>
    </w:p>
    <w:p>
      <w:pPr>
        <w:spacing w:after="0" w:line="177" w:lineRule="exact"/>
        <w:rPr>
          <w:sz w:val="20"/>
          <w:szCs w:val="20"/>
          <w:color w:val="auto"/>
        </w:rPr>
      </w:pPr>
    </w:p>
    <w:tbl>
      <w:tblPr>
        <w:tblLayout w:type="fixed"/>
        <w:tblInd w:w="1429"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920" w:type="dxa"/>
            <w:vAlign w:val="bottom"/>
            <w:gridSpan w:val="3"/>
          </w:tcPr>
          <w:p>
            <w:pPr>
              <w:jc w:val="center"/>
              <w:ind w:left="464"/>
              <w:spacing w:after="0"/>
              <w:rPr>
                <w:sz w:val="20"/>
                <w:szCs w:val="20"/>
                <w:color w:val="auto"/>
              </w:rPr>
            </w:pPr>
            <w:r>
              <w:rPr>
                <w:rFonts w:ascii="Arial" w:cs="Arial" w:eastAsia="Arial" w:hAnsi="Arial"/>
                <w:sz w:val="15"/>
                <w:szCs w:val="15"/>
                <w:b w:val="1"/>
                <w:bCs w:val="1"/>
                <w:color w:val="auto"/>
                <w:w w:val="90"/>
              </w:rPr>
              <w:t>Change in</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0"/>
              </w:rPr>
              <w:t>Foreign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920" w:type="dxa"/>
            <w:vAlign w:val="bottom"/>
            <w:gridSpan w:val="3"/>
          </w:tcPr>
          <w:p>
            <w:pPr>
              <w:jc w:val="center"/>
              <w:ind w:left="484"/>
              <w:spacing w:after="0"/>
              <w:rPr>
                <w:sz w:val="20"/>
                <w:szCs w:val="20"/>
                <w:color w:val="auto"/>
              </w:rPr>
            </w:pPr>
            <w:r>
              <w:rPr>
                <w:rFonts w:ascii="Arial" w:cs="Arial" w:eastAsia="Arial" w:hAnsi="Arial"/>
                <w:sz w:val="15"/>
                <w:szCs w:val="15"/>
                <w:b w:val="1"/>
                <w:bCs w:val="1"/>
                <w:color w:val="auto"/>
                <w:w w:val="95"/>
              </w:rPr>
              <w:t>Market Value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4"/>
              </w:rPr>
              <w:t>Currency</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15"/>
                <w:szCs w:val="15"/>
                <w:color w:val="auto"/>
              </w:rPr>
            </w:pPr>
          </w:p>
        </w:tc>
        <w:tc>
          <w:tcPr>
            <w:tcW w:w="1920" w:type="dxa"/>
            <w:vAlign w:val="bottom"/>
            <w:gridSpan w:val="3"/>
          </w:tcPr>
          <w:p>
            <w:pPr>
              <w:jc w:val="center"/>
              <w:ind w:left="484"/>
              <w:spacing w:after="0"/>
              <w:rPr>
                <w:sz w:val="20"/>
                <w:szCs w:val="20"/>
                <w:color w:val="auto"/>
              </w:rPr>
            </w:pPr>
            <w:r>
              <w:rPr>
                <w:rFonts w:ascii="Arial" w:cs="Arial" w:eastAsia="Arial" w:hAnsi="Arial"/>
                <w:sz w:val="15"/>
                <w:szCs w:val="15"/>
                <w:b w:val="1"/>
                <w:bCs w:val="1"/>
                <w:color w:val="auto"/>
                <w:w w:val="95"/>
              </w:rPr>
              <w:t>of Marketable</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5"/>
                <w:szCs w:val="15"/>
                <w:b w:val="1"/>
                <w:bCs w:val="1"/>
                <w:color w:val="auto"/>
                <w:w w:val="91"/>
              </w:rPr>
              <w:t>Translation</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200" w:type="dxa"/>
            <w:vAlign w:val="bottom"/>
          </w:tcPr>
          <w:p>
            <w:pPr>
              <w:spacing w:after="0"/>
              <w:rPr>
                <w:sz w:val="17"/>
                <w:szCs w:val="17"/>
                <w:color w:val="auto"/>
              </w:rPr>
            </w:pPr>
          </w:p>
        </w:tc>
        <w:tc>
          <w:tcPr>
            <w:tcW w:w="1920" w:type="dxa"/>
            <w:vAlign w:val="bottom"/>
            <w:tcBorders>
              <w:bottom w:val="single" w:sz="8" w:color="auto"/>
            </w:tcBorders>
            <w:gridSpan w:val="3"/>
          </w:tcPr>
          <w:p>
            <w:pPr>
              <w:jc w:val="center"/>
              <w:ind w:left="484"/>
              <w:spacing w:after="0"/>
              <w:rPr>
                <w:sz w:val="20"/>
                <w:szCs w:val="20"/>
                <w:color w:val="auto"/>
              </w:rPr>
            </w:pPr>
            <w:r>
              <w:rPr>
                <w:rFonts w:ascii="Arial" w:cs="Arial" w:eastAsia="Arial" w:hAnsi="Arial"/>
                <w:sz w:val="15"/>
                <w:szCs w:val="15"/>
                <w:b w:val="1"/>
                <w:bCs w:val="1"/>
                <w:color w:val="auto"/>
                <w:w w:val="89"/>
              </w:rPr>
              <w:t>Securities</w:t>
            </w:r>
          </w:p>
        </w:tc>
        <w:tc>
          <w:tcPr>
            <w:tcW w:w="5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64"/>
              <w:spacing w:after="0"/>
              <w:rPr>
                <w:sz w:val="20"/>
                <w:szCs w:val="20"/>
                <w:color w:val="auto"/>
              </w:rPr>
            </w:pPr>
            <w:r>
              <w:rPr>
                <w:rFonts w:ascii="Arial" w:cs="Arial" w:eastAsia="Arial" w:hAnsi="Arial"/>
                <w:sz w:val="15"/>
                <w:szCs w:val="15"/>
                <w:b w:val="1"/>
                <w:bCs w:val="1"/>
                <w:color w:val="auto"/>
                <w:w w:val="92"/>
              </w:rPr>
              <w:t>Adjustment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4"/>
              <w:spacing w:after="0"/>
              <w:rPr>
                <w:sz w:val="20"/>
                <w:szCs w:val="20"/>
                <w:color w:val="auto"/>
              </w:rPr>
            </w:pPr>
            <w:r>
              <w:rPr>
                <w:rFonts w:ascii="Arial" w:cs="Arial" w:eastAsia="Arial" w:hAnsi="Arial"/>
                <w:sz w:val="15"/>
                <w:szCs w:val="15"/>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Balance April 30, 2012, net of taxes</w:t>
            </w: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895</w:t>
            </w:r>
          </w:p>
        </w:tc>
        <w:tc>
          <w:tcPr>
            <w:tcW w:w="120" w:type="dxa"/>
            <w:vAlign w:val="bottom"/>
            <w:shd w:val="clear" w:color="auto" w:fill="CCEEFF"/>
          </w:tcPr>
          <w:p>
            <w:pPr>
              <w:spacing w:after="0"/>
              <w:rPr>
                <w:sz w:val="15"/>
                <w:szCs w:val="15"/>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3,275</w:t>
            </w:r>
          </w:p>
        </w:tc>
        <w:tc>
          <w:tcPr>
            <w:tcW w:w="140" w:type="dxa"/>
            <w:vAlign w:val="bottom"/>
            <w:shd w:val="clear" w:color="auto" w:fill="CCEEFF"/>
          </w:tcPr>
          <w:p>
            <w:pPr>
              <w:spacing w:after="0"/>
              <w:rPr>
                <w:sz w:val="15"/>
                <w:szCs w:val="15"/>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4,170</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Pr>
          <w:p>
            <w:pPr>
              <w:spacing w:after="0" w:line="171" w:lineRule="exact"/>
              <w:rPr>
                <w:sz w:val="20"/>
                <w:szCs w:val="20"/>
                <w:color w:val="auto"/>
              </w:rPr>
            </w:pPr>
            <w:r>
              <w:rPr>
                <w:rFonts w:ascii="Arial" w:cs="Arial" w:eastAsia="Arial" w:hAnsi="Arial"/>
                <w:sz w:val="15"/>
                <w:szCs w:val="15"/>
                <w:color w:val="auto"/>
              </w:rPr>
              <w:t>Items of other comprehensive income (loss)</w:t>
            </w:r>
          </w:p>
        </w:tc>
        <w:tc>
          <w:tcPr>
            <w:tcW w:w="1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tcPr>
          <w:p>
            <w:pPr>
              <w:ind w:left="120"/>
              <w:spacing w:after="0"/>
              <w:rPr>
                <w:sz w:val="20"/>
                <w:szCs w:val="20"/>
                <w:color w:val="auto"/>
              </w:rPr>
            </w:pPr>
            <w:r>
              <w:rPr>
                <w:rFonts w:ascii="Arial" w:cs="Arial" w:eastAsia="Arial" w:hAnsi="Arial"/>
                <w:sz w:val="15"/>
                <w:szCs w:val="15"/>
                <w:color w:val="auto"/>
              </w:rPr>
              <w:t>before reclassification, pretax</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868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86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Tax effect</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(313)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Borders>
              <w:top w:val="single" w:sz="8" w:color="CCEEFF"/>
            </w:tcBorders>
          </w:tcPr>
          <w:p>
            <w:pPr>
              <w:spacing w:after="0" w:line="171" w:lineRule="exact"/>
              <w:rPr>
                <w:sz w:val="20"/>
                <w:szCs w:val="20"/>
                <w:color w:val="auto"/>
              </w:rPr>
            </w:pPr>
            <w:r>
              <w:rPr>
                <w:rFonts w:ascii="Arial" w:cs="Arial" w:eastAsia="Arial" w:hAnsi="Arial"/>
                <w:sz w:val="15"/>
                <w:szCs w:val="15"/>
                <w:color w:val="auto"/>
              </w:rPr>
              <w:t>Items  of  other  comprehensive  income</w:t>
            </w:r>
          </w:p>
        </w:tc>
        <w:tc>
          <w:tcPr>
            <w:tcW w:w="1140" w:type="dxa"/>
            <w:vAlign w:val="bottom"/>
            <w:tcBorders>
              <w:top w:val="single" w:sz="8" w:color="CCEEFF"/>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tcPr>
          <w:p>
            <w:pPr>
              <w:ind w:left="120"/>
              <w:spacing w:after="0"/>
              <w:rPr>
                <w:sz w:val="20"/>
                <w:szCs w:val="20"/>
                <w:color w:val="auto"/>
              </w:rPr>
            </w:pPr>
            <w:r>
              <w:rPr>
                <w:rFonts w:ascii="Arial" w:cs="Arial" w:eastAsia="Arial" w:hAnsi="Arial"/>
                <w:sz w:val="15"/>
                <w:szCs w:val="15"/>
                <w:color w:val="auto"/>
              </w:rPr>
              <w:t>(loss)before reclassification, net of taxes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555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5"/>
                <w:szCs w:val="15"/>
                <w:color w:val="auto"/>
              </w:rPr>
              <w:t>(782)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(227)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Reclassification adjustments, pretax **</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(47)</w:t>
            </w:r>
          </w:p>
        </w:tc>
        <w:tc>
          <w:tcPr>
            <w:tcW w:w="5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Tax effect</w:t>
            </w:r>
          </w:p>
        </w:tc>
        <w:tc>
          <w:tcPr>
            <w:tcW w:w="1140" w:type="dxa"/>
            <w:vAlign w:val="bottom"/>
          </w:tcPr>
          <w:p>
            <w:pPr>
              <w:jc w:val="right"/>
              <w:spacing w:after="0"/>
              <w:rPr>
                <w:sz w:val="20"/>
                <w:szCs w:val="20"/>
                <w:color w:val="auto"/>
              </w:rPr>
            </w:pPr>
            <w:r>
              <w:rPr>
                <w:rFonts w:ascii="Arial" w:cs="Arial" w:eastAsia="Arial" w:hAnsi="Arial"/>
                <w:sz w:val="15"/>
                <w:szCs w:val="15"/>
                <w:color w:val="auto"/>
              </w:rPr>
              <w:t>17</w:t>
            </w: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5"/>
                <w:szCs w:val="15"/>
                <w:color w:val="auto"/>
              </w:rPr>
              <w:t>(30)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Total other comprehensive income (loss),</w:t>
            </w:r>
          </w:p>
        </w:tc>
        <w:tc>
          <w:tcPr>
            <w:tcW w:w="1140" w:type="dxa"/>
            <w:vAlign w:val="bottom"/>
            <w:tcBorders>
              <w:top w:val="single" w:sz="8" w:color="auto"/>
            </w:tcBorders>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net of taxes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525</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5"/>
                <w:szCs w:val="15"/>
                <w:color w:val="auto"/>
              </w:rPr>
              <w:t>(782)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(257)</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Borders>
              <w:top w:val="single" w:sz="8" w:color="CCEEFF"/>
            </w:tcBorders>
          </w:tcPr>
          <w:p>
            <w:pPr>
              <w:spacing w:after="0"/>
              <w:rPr>
                <w:sz w:val="20"/>
                <w:szCs w:val="20"/>
                <w:color w:val="auto"/>
              </w:rPr>
            </w:pPr>
            <w:r>
              <w:rPr>
                <w:rFonts w:ascii="Arial" w:cs="Arial" w:eastAsia="Arial" w:hAnsi="Arial"/>
                <w:sz w:val="15"/>
                <w:szCs w:val="15"/>
                <w:color w:val="auto"/>
              </w:rPr>
              <w:t>Balance April 30, 2013</w:t>
            </w:r>
          </w:p>
        </w:tc>
        <w:tc>
          <w:tcPr>
            <w:tcW w:w="114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5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1,420</w:t>
            </w: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2,493</w:t>
            </w:r>
          </w:p>
        </w:tc>
        <w:tc>
          <w:tcPr>
            <w:tcW w:w="140" w:type="dxa"/>
            <w:vAlign w:val="bottom"/>
            <w:tcBorders>
              <w:top w:val="single" w:sz="8" w:color="CCEEFF"/>
            </w:tcBorders>
          </w:tcPr>
          <w:p>
            <w:pPr>
              <w:spacing w:after="0"/>
              <w:rPr>
                <w:sz w:val="15"/>
                <w:szCs w:val="15"/>
                <w:color w:val="auto"/>
              </w:rPr>
            </w:pPr>
          </w:p>
        </w:tc>
        <w:tc>
          <w:tcPr>
            <w:tcW w:w="8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3,913</w:t>
            </w:r>
          </w:p>
        </w:tc>
        <w:tc>
          <w:tcPr>
            <w:tcW w:w="1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Items of other comprehensive income (loss)</w:t>
            </w: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before reclassification, pretax</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(292)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Tax effect</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shd w:val="clear" w:color="auto" w:fill="CCEEFF"/>
          </w:tcPr>
          <w:p>
            <w:pPr>
              <w:spacing w:after="0" w:line="171" w:lineRule="exact"/>
              <w:rPr>
                <w:sz w:val="20"/>
                <w:szCs w:val="20"/>
                <w:color w:val="auto"/>
              </w:rPr>
            </w:pPr>
            <w:r>
              <w:rPr>
                <w:rFonts w:ascii="Arial" w:cs="Arial" w:eastAsia="Arial" w:hAnsi="Arial"/>
                <w:sz w:val="15"/>
                <w:szCs w:val="15"/>
                <w:color w:val="auto"/>
              </w:rPr>
              <w:t>Items of other comprehensive income (loss)</w:t>
            </w:r>
          </w:p>
        </w:tc>
        <w:tc>
          <w:tcPr>
            <w:tcW w:w="1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2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before reclassification, net of taxes</w:t>
            </w: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505</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343</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200" w:type="dxa"/>
            <w:vAlign w:val="bottom"/>
          </w:tcPr>
          <w:p>
            <w:pPr>
              <w:spacing w:after="0"/>
              <w:rPr>
                <w:sz w:val="20"/>
                <w:szCs w:val="20"/>
                <w:color w:val="auto"/>
              </w:rPr>
            </w:pPr>
            <w:r>
              <w:rPr>
                <w:rFonts w:ascii="Arial" w:cs="Arial" w:eastAsia="Arial" w:hAnsi="Arial"/>
                <w:sz w:val="15"/>
                <w:szCs w:val="15"/>
                <w:color w:val="auto"/>
              </w:rPr>
              <w:t>Reclassification adjustments, pretax **</w:t>
            </w:r>
          </w:p>
        </w:tc>
        <w:tc>
          <w:tcPr>
            <w:tcW w:w="1340" w:type="dxa"/>
            <w:vAlign w:val="bottom"/>
            <w:gridSpan w:val="2"/>
          </w:tcPr>
          <w:p>
            <w:pPr>
              <w:jc w:val="right"/>
              <w:ind w:right="160"/>
              <w:spacing w:after="0"/>
              <w:rPr>
                <w:sz w:val="20"/>
                <w:szCs w:val="20"/>
                <w:color w:val="auto"/>
              </w:rPr>
            </w:pPr>
            <w:r>
              <w:rPr>
                <w:rFonts w:ascii="Arial" w:cs="Arial" w:eastAsia="Arial" w:hAnsi="Arial"/>
                <w:sz w:val="15"/>
                <w:szCs w:val="15"/>
                <w:color w:val="auto"/>
              </w:rPr>
              <w:t>(367)</w:t>
            </w:r>
          </w:p>
        </w:tc>
        <w:tc>
          <w:tcPr>
            <w:tcW w:w="5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Tax</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125</w:t>
            </w: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(242)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00" w:type="dxa"/>
            <w:vAlign w:val="bottom"/>
            <w:tcBorders>
              <w:top w:val="single" w:sz="8" w:color="CCEEFF"/>
            </w:tcBorders>
          </w:tcPr>
          <w:p>
            <w:pPr>
              <w:spacing w:after="0" w:line="171" w:lineRule="exact"/>
              <w:rPr>
                <w:sz w:val="20"/>
                <w:szCs w:val="20"/>
                <w:color w:val="auto"/>
              </w:rPr>
            </w:pPr>
            <w:r>
              <w:rPr>
                <w:rFonts w:ascii="Arial" w:cs="Arial" w:eastAsia="Arial" w:hAnsi="Arial"/>
                <w:sz w:val="15"/>
                <w:szCs w:val="15"/>
                <w:color w:val="auto"/>
              </w:rPr>
              <w:t>Total other comprehensive income (loss),</w:t>
            </w:r>
          </w:p>
        </w:tc>
        <w:tc>
          <w:tcPr>
            <w:tcW w:w="1140" w:type="dxa"/>
            <w:vAlign w:val="bottom"/>
            <w:tcBorders>
              <w:top w:val="single" w:sz="8" w:color="auto"/>
            </w:tcBorders>
          </w:tcPr>
          <w:p>
            <w:pPr>
              <w:spacing w:after="0"/>
              <w:rPr>
                <w:sz w:val="14"/>
                <w:szCs w:val="14"/>
                <w:color w:val="auto"/>
              </w:rPr>
            </w:pPr>
          </w:p>
        </w:tc>
        <w:tc>
          <w:tcPr>
            <w:tcW w:w="200" w:type="dxa"/>
            <w:vAlign w:val="bottom"/>
            <w:tcBorders>
              <w:top w:val="single" w:sz="8" w:color="CCEEFF"/>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20" w:type="dxa"/>
            <w:vAlign w:val="bottom"/>
            <w:tcBorders>
              <w:top w:val="single" w:sz="8" w:color="CCEEFF"/>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80" w:type="dxa"/>
            <w:vAlign w:val="bottom"/>
            <w:tcBorders>
              <w:top w:val="single" w:sz="8" w:color="CCEEFF"/>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tcPr>
          <w:p>
            <w:pPr>
              <w:ind w:left="120"/>
              <w:spacing w:after="0"/>
              <w:rPr>
                <w:sz w:val="20"/>
                <w:szCs w:val="20"/>
                <w:color w:val="auto"/>
              </w:rPr>
            </w:pPr>
            <w:r>
              <w:rPr>
                <w:rFonts w:ascii="Arial" w:cs="Arial" w:eastAsia="Arial" w:hAnsi="Arial"/>
                <w:sz w:val="15"/>
                <w:szCs w:val="15"/>
                <w:color w:val="auto"/>
              </w:rPr>
              <w:t>net of taxes</w:t>
            </w: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5"/>
                <w:szCs w:val="15"/>
                <w:color w:val="auto"/>
              </w:rPr>
              <w:t>(404)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505</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3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vMerge w:val="continue"/>
          </w:tcPr>
          <w:p>
            <w:pPr>
              <w:spacing w:after="0"/>
              <w:rPr>
                <w:sz w:val="17"/>
                <w:szCs w:val="17"/>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5"/>
                <w:szCs w:val="15"/>
                <w:color w:val="auto"/>
              </w:rPr>
              <w:t>Balance April 30, 2014</w:t>
            </w:r>
          </w:p>
        </w:tc>
        <w:tc>
          <w:tcPr>
            <w:tcW w:w="1920" w:type="dxa"/>
            <w:vAlign w:val="bottom"/>
            <w:gridSpan w:val="3"/>
            <w:shd w:val="clear" w:color="auto" w:fill="CCEEFF"/>
          </w:tcPr>
          <w:p>
            <w:pPr>
              <w:jc w:val="right"/>
              <w:ind w:right="500"/>
              <w:spacing w:after="0"/>
              <w:rPr>
                <w:sz w:val="20"/>
                <w:szCs w:val="20"/>
                <w:color w:val="auto"/>
              </w:rPr>
            </w:pPr>
            <w:r>
              <w:rPr>
                <w:rFonts w:ascii="Arial" w:cs="Arial" w:eastAsia="Arial" w:hAnsi="Arial"/>
                <w:sz w:val="15"/>
                <w:szCs w:val="15"/>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1,016</w:t>
            </w:r>
          </w:p>
        </w:tc>
        <w:tc>
          <w:tcPr>
            <w:tcW w:w="12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2,998</w:t>
            </w:r>
          </w:p>
        </w:tc>
        <w:tc>
          <w:tcPr>
            <w:tcW w:w="140" w:type="dxa"/>
            <w:vAlign w:val="bottom"/>
            <w:shd w:val="clear" w:color="auto" w:fill="CCEEFF"/>
          </w:tcPr>
          <w:p>
            <w:pPr>
              <w:spacing w:after="0"/>
              <w:rPr>
                <w:sz w:val="17"/>
                <w:szCs w:val="17"/>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4,014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left="549"/>
        <w:spacing w:after="0" w:line="277" w:lineRule="auto"/>
        <w:rPr>
          <w:sz w:val="20"/>
          <w:szCs w:val="20"/>
          <w:color w:val="auto"/>
        </w:rPr>
      </w:pPr>
      <w:r>
        <w:rPr>
          <w:rFonts w:ascii="Arial" w:cs="Arial" w:eastAsia="Arial" w:hAnsi="Arial"/>
          <w:sz w:val="15"/>
          <w:szCs w:val="15"/>
          <w:color w:val="auto"/>
        </w:rPr>
        <w:t>**The reclassification adjustments represent net realized gains on the sale or redemption of available-for-sale marketable securities that were reclassified from AOCI to Other income (expense), net.</w:t>
      </w:r>
    </w:p>
    <w:p>
      <w:pPr>
        <w:spacing w:after="0" w:line="27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9"/>
          </w:cols>
          <w:pgMar w:left="231" w:top="124" w:right="219" w:bottom="1440" w:gutter="0" w:footer="0" w:header="0"/>
        </w:sectPr>
      </w:pPr>
    </w:p>
    <w:bookmarkStart w:id="50" w:name="page51"/>
    <w:bookmarkEnd w:id="50"/>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9. Changes in and Disagreements with Accountants on Accounting and Financial Disclosure</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None</w:t>
      </w:r>
    </w:p>
    <w:p>
      <w:pPr>
        <w:spacing w:after="0" w:line="21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9A Controls and Procedures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Evaluation of Disclosure Controls and Procedures</w:t>
      </w:r>
      <w:r>
        <w:rPr>
          <w:rFonts w:ascii="Arial" w:cs="Arial" w:eastAsia="Arial" w:hAnsi="Arial"/>
          <w:sz w:val="15"/>
          <w:szCs w:val="15"/>
          <w:color w:val="auto"/>
        </w:rPr>
        <w:t>.</w:t>
      </w:r>
    </w:p>
    <w:p>
      <w:pPr>
        <w:spacing w:after="0" w:line="213" w:lineRule="exact"/>
        <w:rPr>
          <w:sz w:val="20"/>
          <w:szCs w:val="20"/>
          <w:color w:val="auto"/>
        </w:rPr>
      </w:pPr>
    </w:p>
    <w:p>
      <w:pPr>
        <w:jc w:val="both"/>
        <w:ind w:firstLine="408"/>
        <w:spacing w:after="0" w:line="257" w:lineRule="auto"/>
        <w:rPr>
          <w:sz w:val="20"/>
          <w:szCs w:val="20"/>
          <w:color w:val="auto"/>
        </w:rPr>
      </w:pPr>
      <w:r>
        <w:rPr>
          <w:rFonts w:ascii="Arial" w:cs="Arial" w:eastAsia="Arial" w:hAnsi="Arial"/>
          <w:sz w:val="15"/>
          <w:szCs w:val="15"/>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on their evaluation, the Company’s chief executive officer and chief financial officer have concluded that, as of April 30, 2014, the Company’s disclosure controls and procedures were effective.</w:t>
      </w:r>
    </w:p>
    <w:p>
      <w:pPr>
        <w:spacing w:after="0" w:line="185"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Management’s Annual Report on Internal Control Over Financial Reporting</w:t>
      </w:r>
    </w:p>
    <w:p>
      <w:pPr>
        <w:spacing w:after="0" w:line="213" w:lineRule="exact"/>
        <w:rPr>
          <w:sz w:val="20"/>
          <w:szCs w:val="20"/>
          <w:color w:val="auto"/>
        </w:rPr>
      </w:pPr>
    </w:p>
    <w:p>
      <w:pPr>
        <w:jc w:val="both"/>
        <w:ind w:firstLine="408"/>
        <w:spacing w:after="0" w:line="258" w:lineRule="auto"/>
        <w:rPr>
          <w:sz w:val="20"/>
          <w:szCs w:val="20"/>
          <w:color w:val="auto"/>
        </w:rPr>
      </w:pPr>
      <w:r>
        <w:rPr>
          <w:rFonts w:ascii="Arial" w:cs="Arial" w:eastAsia="Arial" w:hAnsi="Arial"/>
          <w:sz w:val="15"/>
          <w:szCs w:val="15"/>
          <w:color w:val="auto"/>
        </w:rPr>
        <w:t>Management of Frequency Electronics is responsible for establishing and maintaining adequate internal control over financial reporting as defined in Rules 13a-15(f) and 15d-15(f) under the Exchange Act. The Company’s internal control system is designed to provide reasonable assurance regarding the reliability of financial reporting and the preparation of financial statements for external purposes in accordance with generally accepted accounting principles. 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5"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Management has assessed the effectiveness of the Company’s internal control over financial reporting as of April 30, 2014. In making this assessment, management used the criteria established in Internal Control—Integrated Framework issued in 1992 by the Committee of Sponsoring Organizations of the Treadway Commission (COSO-1992). Based on this evaluation, management has concluded that the Company’s internal control over financial reporting were effective as of April 30, 2014.</w:t>
      </w:r>
    </w:p>
    <w:p>
      <w:pPr>
        <w:spacing w:after="0" w:line="177"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5"/>
          <w:szCs w:val="15"/>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69"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Financial Reporting</w:t>
      </w:r>
    </w:p>
    <w:p>
      <w:pPr>
        <w:spacing w:after="0" w:line="213" w:lineRule="exact"/>
        <w:rPr>
          <w:sz w:val="20"/>
          <w:szCs w:val="20"/>
          <w:color w:val="auto"/>
        </w:rPr>
      </w:pPr>
    </w:p>
    <w:p>
      <w:pPr>
        <w:jc w:val="both"/>
        <w:ind w:firstLine="408"/>
        <w:spacing w:after="0" w:line="265" w:lineRule="auto"/>
        <w:rPr>
          <w:sz w:val="20"/>
          <w:szCs w:val="20"/>
          <w:color w:val="auto"/>
        </w:rPr>
      </w:pPr>
      <w:r>
        <w:rPr>
          <w:rFonts w:ascii="Arial" w:cs="Arial" w:eastAsia="Arial" w:hAnsi="Arial"/>
          <w:sz w:val="15"/>
          <w:szCs w:val="15"/>
          <w:color w:val="auto"/>
        </w:rPr>
        <w:t>This annual report does not include an attestation report of the Company’s registered public accounting firm regarding internal control over financial reporting. Management’s report was not subject to attestation by the Company’s registered public accounting firm pursuant to rules of the Securities and Exchange Commission that permit the Company to provide only management’s report in this annual report.</w:t>
      </w:r>
    </w:p>
    <w:p>
      <w:pPr>
        <w:spacing w:after="0" w:line="177" w:lineRule="exact"/>
        <w:rPr>
          <w:sz w:val="20"/>
          <w:szCs w:val="20"/>
          <w:color w:val="auto"/>
        </w:rPr>
      </w:pPr>
    </w:p>
    <w:p>
      <w:pPr>
        <w:ind w:left="400"/>
        <w:spacing w:after="0"/>
        <w:rPr>
          <w:sz w:val="20"/>
          <w:szCs w:val="20"/>
          <w:color w:val="auto"/>
        </w:rPr>
      </w:pPr>
      <w:r>
        <w:rPr>
          <w:rFonts w:ascii="Arial" w:cs="Arial" w:eastAsia="Arial" w:hAnsi="Arial"/>
          <w:sz w:val="15"/>
          <w:szCs w:val="15"/>
          <w:u w:val="single" w:color="auto"/>
          <w:color w:val="auto"/>
        </w:rPr>
        <w:t>Changes in Internal Control Over Financial Reporting</w:t>
      </w:r>
      <w:r>
        <w:rPr>
          <w:rFonts w:ascii="Arial" w:cs="Arial" w:eastAsia="Arial" w:hAnsi="Arial"/>
          <w:sz w:val="15"/>
          <w:szCs w:val="15"/>
          <w:color w:val="auto"/>
        </w:rPr>
        <w:t>.</w:t>
      </w:r>
    </w:p>
    <w:p>
      <w:pPr>
        <w:spacing w:after="0" w:line="213" w:lineRule="exact"/>
        <w:rPr>
          <w:sz w:val="20"/>
          <w:szCs w:val="20"/>
          <w:color w:val="auto"/>
        </w:rPr>
      </w:pPr>
    </w:p>
    <w:p>
      <w:pPr>
        <w:jc w:val="both"/>
        <w:ind w:firstLine="408"/>
        <w:spacing w:after="0" w:line="314" w:lineRule="auto"/>
        <w:rPr>
          <w:sz w:val="20"/>
          <w:szCs w:val="20"/>
          <w:color w:val="auto"/>
        </w:rPr>
      </w:pPr>
      <w:r>
        <w:rPr>
          <w:rFonts w:ascii="Arial" w:cs="Arial" w:eastAsia="Arial" w:hAnsi="Arial"/>
          <w:sz w:val="14"/>
          <w:szCs w:val="14"/>
          <w:color w:val="auto"/>
        </w:rPr>
        <w:t>There were no changes in the Company’s internal control over financial reporting (as such term is defined in Rules 13a-15(f) and 15d-15(f) under the Exchange Act) during the year ended April 30, 2014 to which this report relates that have materially affected, or are reasonably likely to materially affect, the Company’s internal control over financial reporting.</w:t>
      </w:r>
    </w:p>
    <w:p>
      <w:pPr>
        <w:spacing w:after="0" w:line="146"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9B Other Information</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5"/>
          <w:szCs w:val="15"/>
          <w:color w:val="auto"/>
        </w:rPr>
        <w:t>None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1" w:name="page52"/>
    <w:bookmarkEnd w:id="51"/>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III</w:t>
      </w:r>
    </w:p>
    <w:p>
      <w:pPr>
        <w:spacing w:after="0" w:line="217"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10. Directors and Executive Officers of the Company</w:t>
      </w:r>
    </w:p>
    <w:p>
      <w:pPr>
        <w:spacing w:after="0" w:line="213" w:lineRule="exact"/>
        <w:rPr>
          <w:sz w:val="20"/>
          <w:szCs w:val="20"/>
          <w:color w:val="auto"/>
        </w:rPr>
      </w:pPr>
    </w:p>
    <w:p>
      <w:pPr>
        <w:jc w:val="both"/>
        <w:ind w:firstLine="408"/>
        <w:spacing w:after="0" w:line="261" w:lineRule="auto"/>
        <w:rPr>
          <w:sz w:val="20"/>
          <w:szCs w:val="20"/>
          <w:color w:val="auto"/>
        </w:rPr>
      </w:pPr>
      <w:r>
        <w:rPr>
          <w:rFonts w:ascii="Arial" w:cs="Arial" w:eastAsia="Arial" w:hAnsi="Arial"/>
          <w:sz w:val="15"/>
          <w:szCs w:val="15"/>
          <w:color w:val="auto"/>
        </w:rPr>
        <w:t>The information required to be furnished pursuant to this item with respect to Directors of the Company, in compliance with Section 16(a) of the Securities Exchange Act of 1934, as amended, and the Company’s code of ethics is incorporated herein by reference from the Company’s definitive proxy statement to be filed for the annual meeting of stockholders to be held on or about October 8, 2014. The information required to be furnished pursuant to this item with respect to Executive Officers is set forth, pursuant to General Instruction G of Form 10-K, under Part I of this Report.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11. Executive Compensation</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This item is incorporated herein by reference from the Company's definitive proxy statement to be filed for the annual meeting of stockholders to be held on or about October 8,</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2014.</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12. Security Ownership of Certain Beneficial Owners and Management and Related Stockholder Matters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This item is incorporated herein by reference from the Company's definitive proxy statement to be filed for the annual meeting of stockholders to be held on or about October 8,</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2014.</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13. Certain Relationships and Related Transactions, and Director Independence</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This item is incorporated herein by reference from the Company's definitive proxy statement to be filed for the annual meeting of stockholders to be held on or about October 8,</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2014.</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Item 14. Principal Accountant Fees and Services</w:t>
      </w:r>
    </w:p>
    <w:p>
      <w:pPr>
        <w:spacing w:after="0" w:line="213" w:lineRule="exact"/>
        <w:rPr>
          <w:sz w:val="20"/>
          <w:szCs w:val="20"/>
          <w:color w:val="auto"/>
        </w:rPr>
      </w:pPr>
    </w:p>
    <w:p>
      <w:pPr>
        <w:ind w:left="400"/>
        <w:spacing w:after="0"/>
        <w:rPr>
          <w:sz w:val="20"/>
          <w:szCs w:val="20"/>
          <w:color w:val="auto"/>
        </w:rPr>
      </w:pPr>
      <w:r>
        <w:rPr>
          <w:rFonts w:ascii="Arial" w:cs="Arial" w:eastAsia="Arial" w:hAnsi="Arial"/>
          <w:sz w:val="14"/>
          <w:szCs w:val="14"/>
          <w:color w:val="auto"/>
        </w:rPr>
        <w:t>This item is incorporated herein by reference from the Company's definitive proxy statement to be filed for the annual meeting of stockholders to be held on or about October 8,</w:t>
      </w:r>
    </w:p>
    <w:p>
      <w:pPr>
        <w:spacing w:after="0" w:line="30" w:lineRule="exact"/>
        <w:rPr>
          <w:sz w:val="20"/>
          <w:szCs w:val="20"/>
          <w:color w:val="auto"/>
        </w:rPr>
      </w:pPr>
    </w:p>
    <w:p>
      <w:pPr>
        <w:spacing w:after="0"/>
        <w:rPr>
          <w:sz w:val="20"/>
          <w:szCs w:val="20"/>
          <w:color w:val="auto"/>
        </w:rPr>
      </w:pPr>
      <w:r>
        <w:rPr>
          <w:rFonts w:ascii="Arial" w:cs="Arial" w:eastAsia="Arial" w:hAnsi="Arial"/>
          <w:sz w:val="15"/>
          <w:szCs w:val="15"/>
          <w:color w:val="auto"/>
        </w:rPr>
        <w:t>2014.</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67310</wp:posOffset>
            </wp:positionV>
            <wp:extent cx="7273925" cy="196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2" w:name="page53"/>
    <w:bookmarkEnd w:id="52"/>
    <w:p>
      <w:pPr>
        <w:ind w:left="9"/>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8"/>
        <w:spacing w:after="0"/>
        <w:rPr>
          <w:sz w:val="20"/>
          <w:szCs w:val="20"/>
          <w:color w:val="auto"/>
        </w:rPr>
      </w:pPr>
      <w:r>
        <w:rPr>
          <w:rFonts w:ascii="Arial" w:cs="Arial" w:eastAsia="Arial" w:hAnsi="Arial"/>
          <w:sz w:val="15"/>
          <w:szCs w:val="15"/>
          <w:b w:val="1"/>
          <w:bCs w:val="1"/>
          <w:color w:val="auto"/>
        </w:rPr>
        <w:t>PART IV</w:t>
      </w:r>
    </w:p>
    <w:p>
      <w:pPr>
        <w:spacing w:after="0" w:line="217" w:lineRule="exact"/>
        <w:rPr>
          <w:sz w:val="20"/>
          <w:szCs w:val="20"/>
          <w:color w:val="auto"/>
        </w:rPr>
      </w:pPr>
    </w:p>
    <w:p>
      <w:pPr>
        <w:ind w:left="9"/>
        <w:spacing w:after="0"/>
        <w:rPr>
          <w:sz w:val="20"/>
          <w:szCs w:val="20"/>
          <w:color w:val="auto"/>
        </w:rPr>
      </w:pPr>
      <w:r>
        <w:rPr>
          <w:rFonts w:ascii="Arial" w:cs="Arial" w:eastAsia="Arial" w:hAnsi="Arial"/>
          <w:sz w:val="15"/>
          <w:szCs w:val="15"/>
          <w:u w:val="single" w:color="auto"/>
          <w:color w:val="auto"/>
        </w:rPr>
        <w:t>Item 15. Exhibits and Financial Statement Schedules</w:t>
      </w:r>
    </w:p>
    <w:p>
      <w:pPr>
        <w:spacing w:after="0" w:line="213" w:lineRule="exact"/>
        <w:rPr>
          <w:sz w:val="20"/>
          <w:szCs w:val="20"/>
          <w:color w:val="auto"/>
        </w:rPr>
      </w:pPr>
    </w:p>
    <w:p>
      <w:pPr>
        <w:ind w:left="689" w:hanging="689"/>
        <w:spacing w:after="0"/>
        <w:tabs>
          <w:tab w:leader="none" w:pos="689" w:val="left"/>
        </w:tabs>
        <w:numPr>
          <w:ilvl w:val="0"/>
          <w:numId w:val="18"/>
        </w:numPr>
        <w:rPr>
          <w:rFonts w:ascii="Arial" w:cs="Arial" w:eastAsia="Arial" w:hAnsi="Arial"/>
          <w:sz w:val="15"/>
          <w:szCs w:val="15"/>
          <w:color w:val="auto"/>
        </w:rPr>
      </w:pPr>
      <w:r>
        <w:rPr>
          <w:rFonts w:ascii="Arial" w:cs="Arial" w:eastAsia="Arial" w:hAnsi="Arial"/>
          <w:sz w:val="15"/>
          <w:szCs w:val="15"/>
          <w:u w:val="single" w:color="auto"/>
          <w:color w:val="auto"/>
        </w:rPr>
        <w:t>Index to Financial Statements and Exhibits</w:t>
      </w:r>
    </w:p>
    <w:p>
      <w:pPr>
        <w:spacing w:after="0" w:line="213" w:lineRule="exact"/>
        <w:rPr>
          <w:rFonts w:ascii="Arial" w:cs="Arial" w:eastAsia="Arial" w:hAnsi="Arial"/>
          <w:sz w:val="15"/>
          <w:szCs w:val="15"/>
          <w:color w:val="auto"/>
        </w:rPr>
      </w:pPr>
    </w:p>
    <w:p>
      <w:pPr>
        <w:ind w:left="689"/>
        <w:spacing w:after="0"/>
        <w:rPr>
          <w:rFonts w:ascii="Arial" w:cs="Arial" w:eastAsia="Arial" w:hAnsi="Arial"/>
          <w:sz w:val="15"/>
          <w:szCs w:val="15"/>
          <w:color w:val="auto"/>
        </w:rPr>
      </w:pPr>
      <w:r>
        <w:rPr>
          <w:rFonts w:ascii="Arial" w:cs="Arial" w:eastAsia="Arial" w:hAnsi="Arial"/>
          <w:sz w:val="15"/>
          <w:szCs w:val="15"/>
          <w:color w:val="auto"/>
        </w:rPr>
        <w:t>The financial statements and exhibits are listed below and are filed as part of this report.</w:t>
      </w:r>
    </w:p>
    <w:p>
      <w:pPr>
        <w:spacing w:after="0" w:line="213" w:lineRule="exact"/>
        <w:rPr>
          <w:sz w:val="20"/>
          <w:szCs w:val="20"/>
          <w:color w:val="auto"/>
        </w:rPr>
      </w:pPr>
    </w:p>
    <w:p>
      <w:pPr>
        <w:ind w:left="9" w:right="9440" w:hanging="9"/>
        <w:spacing w:after="0" w:line="572" w:lineRule="auto"/>
        <w:tabs>
          <w:tab w:leader="none" w:pos="223"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FINANCIAL STATEMENTS Included in Part II of this report:</w:t>
      </w:r>
    </w:p>
    <w:tbl>
      <w:tblPr>
        <w:tblLayout w:type="fixed"/>
        <w:tblInd w:w="9" w:type="dxa"/>
        <w:tblCellMar>
          <w:top w:w="0" w:type="dxa"/>
          <w:left w:w="0" w:type="dxa"/>
          <w:bottom w:w="0" w:type="dxa"/>
          <w:right w:w="0" w:type="dxa"/>
        </w:tblCellMar>
      </w:tblPr>
      <w:tr>
        <w:trPr>
          <w:trHeight w:val="199"/>
        </w:trPr>
        <w:tc>
          <w:tcPr>
            <w:tcW w:w="8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gridSpan w:val="2"/>
          </w:tcPr>
          <w:p>
            <w:pPr>
              <w:ind w:left="900"/>
              <w:spacing w:after="0"/>
              <w:rPr>
                <w:sz w:val="20"/>
                <w:szCs w:val="20"/>
                <w:color w:val="auto"/>
              </w:rPr>
            </w:pPr>
            <w:r>
              <w:rPr>
                <w:rFonts w:ascii="Arial" w:cs="Arial" w:eastAsia="Arial" w:hAnsi="Arial"/>
                <w:sz w:val="15"/>
                <w:szCs w:val="15"/>
                <w:b w:val="1"/>
                <w:bCs w:val="1"/>
                <w:color w:val="auto"/>
                <w:w w:val="84"/>
              </w:rPr>
              <w:t>Page(s)</w:t>
            </w:r>
          </w:p>
        </w:tc>
      </w:tr>
      <w:tr>
        <w:trPr>
          <w:trHeight w:val="191"/>
        </w:trPr>
        <w:tc>
          <w:tcPr>
            <w:tcW w:w="10080" w:type="dxa"/>
            <w:vAlign w:val="bottom"/>
            <w:gridSpan w:val="7"/>
          </w:tcPr>
          <w:p>
            <w:pPr>
              <w:spacing w:after="0"/>
              <w:rPr>
                <w:sz w:val="20"/>
                <w:szCs w:val="20"/>
                <w:color w:val="auto"/>
              </w:rPr>
            </w:pPr>
            <w:r>
              <w:rPr>
                <w:rFonts w:ascii="Arial" w:cs="Arial" w:eastAsia="Arial" w:hAnsi="Arial"/>
                <w:sz w:val="15"/>
                <w:szCs w:val="15"/>
                <w:color w:val="auto"/>
              </w:rPr>
              <w:t>Report of Independent Registered Public Accounting Firm</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20" w:type="dxa"/>
            <w:vAlign w:val="bottom"/>
          </w:tcPr>
          <w:p>
            <w:pPr>
              <w:spacing w:after="0"/>
              <w:rPr>
                <w:sz w:val="16"/>
                <w:szCs w:val="16"/>
                <w:color w:val="auto"/>
              </w:rPr>
            </w:pPr>
          </w:p>
        </w:tc>
      </w:tr>
      <w:tr>
        <w:trPr>
          <w:trHeight w:val="352"/>
        </w:trPr>
        <w:tc>
          <w:tcPr>
            <w:tcW w:w="10080" w:type="dxa"/>
            <w:vAlign w:val="bottom"/>
            <w:gridSpan w:val="7"/>
          </w:tcPr>
          <w:p>
            <w:pPr>
              <w:spacing w:after="0"/>
              <w:rPr>
                <w:sz w:val="20"/>
                <w:szCs w:val="20"/>
                <w:color w:val="auto"/>
              </w:rPr>
            </w:pPr>
            <w:r>
              <w:rPr>
                <w:rFonts w:ascii="Arial" w:cs="Arial" w:eastAsia="Arial" w:hAnsi="Arial"/>
                <w:sz w:val="15"/>
                <w:szCs w:val="15"/>
                <w:color w:val="auto"/>
              </w:rPr>
              <w:t>Consolidated Balance Sheets April 30, 2014 and 2013</w:t>
            </w:r>
          </w:p>
        </w:tc>
        <w:tc>
          <w:tcPr>
            <w:tcW w:w="1360" w:type="dxa"/>
            <w:vAlign w:val="bottom"/>
          </w:tcPr>
          <w:p>
            <w:pPr>
              <w:jc w:val="right"/>
              <w:spacing w:after="0"/>
              <w:rPr>
                <w:sz w:val="20"/>
                <w:szCs w:val="20"/>
                <w:color w:val="auto"/>
              </w:rPr>
            </w:pPr>
            <w:r>
              <w:rPr>
                <w:rFonts w:ascii="Arial" w:cs="Arial" w:eastAsia="Arial" w:hAnsi="Arial"/>
                <w:sz w:val="15"/>
                <w:szCs w:val="15"/>
                <w:color w:val="auto"/>
              </w:rPr>
              <w:t>23</w:t>
            </w:r>
          </w:p>
        </w:tc>
        <w:tc>
          <w:tcPr>
            <w:tcW w:w="20" w:type="dxa"/>
            <w:vAlign w:val="bottom"/>
          </w:tcPr>
          <w:p>
            <w:pPr>
              <w:spacing w:after="0"/>
              <w:rPr>
                <w:sz w:val="24"/>
                <w:szCs w:val="24"/>
                <w:color w:val="auto"/>
              </w:rPr>
            </w:pPr>
          </w:p>
        </w:tc>
      </w:tr>
      <w:tr>
        <w:trPr>
          <w:trHeight w:val="363"/>
        </w:trPr>
        <w:tc>
          <w:tcPr>
            <w:tcW w:w="10080" w:type="dxa"/>
            <w:vAlign w:val="bottom"/>
            <w:gridSpan w:val="7"/>
          </w:tcPr>
          <w:p>
            <w:pPr>
              <w:spacing w:after="0"/>
              <w:rPr>
                <w:sz w:val="20"/>
                <w:szCs w:val="20"/>
                <w:color w:val="auto"/>
              </w:rPr>
            </w:pPr>
            <w:r>
              <w:rPr>
                <w:rFonts w:ascii="Arial" w:cs="Arial" w:eastAsia="Arial" w:hAnsi="Arial"/>
                <w:sz w:val="15"/>
                <w:szCs w:val="15"/>
                <w:color w:val="auto"/>
              </w:rPr>
              <w:t>Consolidated Statements of Income and Comprehensive Income -years ended April 30, 2014 and 2013</w:t>
            </w:r>
          </w:p>
        </w:tc>
        <w:tc>
          <w:tcPr>
            <w:tcW w:w="1360" w:type="dxa"/>
            <w:vAlign w:val="bottom"/>
          </w:tcPr>
          <w:p>
            <w:pPr>
              <w:jc w:val="right"/>
              <w:spacing w:after="0"/>
              <w:rPr>
                <w:sz w:val="20"/>
                <w:szCs w:val="20"/>
                <w:color w:val="auto"/>
              </w:rPr>
            </w:pPr>
            <w:r>
              <w:rPr>
                <w:rFonts w:ascii="Arial" w:cs="Arial" w:eastAsia="Arial" w:hAnsi="Arial"/>
                <w:sz w:val="15"/>
                <w:szCs w:val="15"/>
                <w:color w:val="auto"/>
              </w:rPr>
              <w:t>24</w:t>
            </w:r>
          </w:p>
        </w:tc>
        <w:tc>
          <w:tcPr>
            <w:tcW w:w="20" w:type="dxa"/>
            <w:vAlign w:val="bottom"/>
          </w:tcPr>
          <w:p>
            <w:pPr>
              <w:spacing w:after="0"/>
              <w:rPr>
                <w:sz w:val="24"/>
                <w:szCs w:val="24"/>
                <w:color w:val="auto"/>
              </w:rPr>
            </w:pPr>
          </w:p>
        </w:tc>
      </w:tr>
      <w:tr>
        <w:trPr>
          <w:trHeight w:val="363"/>
        </w:trPr>
        <w:tc>
          <w:tcPr>
            <w:tcW w:w="10080" w:type="dxa"/>
            <w:vAlign w:val="bottom"/>
            <w:gridSpan w:val="7"/>
          </w:tcPr>
          <w:p>
            <w:pPr>
              <w:spacing w:after="0"/>
              <w:rPr>
                <w:sz w:val="20"/>
                <w:szCs w:val="20"/>
                <w:color w:val="auto"/>
              </w:rPr>
            </w:pPr>
            <w:r>
              <w:rPr>
                <w:rFonts w:ascii="Arial" w:cs="Arial" w:eastAsia="Arial" w:hAnsi="Arial"/>
                <w:sz w:val="15"/>
                <w:szCs w:val="15"/>
                <w:color w:val="auto"/>
              </w:rPr>
              <w:t>Consolidated Statements of Cash Flows - years ended April 30, 2014 and 2013</w:t>
            </w:r>
          </w:p>
        </w:tc>
        <w:tc>
          <w:tcPr>
            <w:tcW w:w="1360" w:type="dxa"/>
            <w:vAlign w:val="bottom"/>
          </w:tcPr>
          <w:p>
            <w:pPr>
              <w:jc w:val="right"/>
              <w:spacing w:after="0"/>
              <w:rPr>
                <w:sz w:val="20"/>
                <w:szCs w:val="20"/>
                <w:color w:val="auto"/>
              </w:rPr>
            </w:pPr>
            <w:r>
              <w:rPr>
                <w:rFonts w:ascii="Arial" w:cs="Arial" w:eastAsia="Arial" w:hAnsi="Arial"/>
                <w:sz w:val="15"/>
                <w:szCs w:val="15"/>
                <w:color w:val="auto"/>
              </w:rPr>
              <w:t>25-26</w:t>
            </w:r>
          </w:p>
        </w:tc>
        <w:tc>
          <w:tcPr>
            <w:tcW w:w="20" w:type="dxa"/>
            <w:vAlign w:val="bottom"/>
          </w:tcPr>
          <w:p>
            <w:pPr>
              <w:spacing w:after="0"/>
              <w:rPr>
                <w:sz w:val="24"/>
                <w:szCs w:val="24"/>
                <w:color w:val="auto"/>
              </w:rPr>
            </w:pPr>
          </w:p>
        </w:tc>
      </w:tr>
      <w:tr>
        <w:trPr>
          <w:trHeight w:val="363"/>
        </w:trPr>
        <w:tc>
          <w:tcPr>
            <w:tcW w:w="10080" w:type="dxa"/>
            <w:vAlign w:val="bottom"/>
            <w:gridSpan w:val="7"/>
          </w:tcPr>
          <w:p>
            <w:pPr>
              <w:spacing w:after="0"/>
              <w:rPr>
                <w:sz w:val="20"/>
                <w:szCs w:val="20"/>
                <w:color w:val="auto"/>
              </w:rPr>
            </w:pPr>
            <w:r>
              <w:rPr>
                <w:rFonts w:ascii="Arial" w:cs="Arial" w:eastAsia="Arial" w:hAnsi="Arial"/>
                <w:sz w:val="15"/>
                <w:szCs w:val="15"/>
                <w:color w:val="auto"/>
              </w:rPr>
              <w:t>Consolidated Statements of Changes in Stockholders' Equity - years ended April 30, 2014 and 2013</w:t>
            </w:r>
          </w:p>
        </w:tc>
        <w:tc>
          <w:tcPr>
            <w:tcW w:w="1360" w:type="dxa"/>
            <w:vAlign w:val="bottom"/>
          </w:tcPr>
          <w:p>
            <w:pPr>
              <w:jc w:val="right"/>
              <w:spacing w:after="0"/>
              <w:rPr>
                <w:sz w:val="20"/>
                <w:szCs w:val="20"/>
                <w:color w:val="auto"/>
              </w:rPr>
            </w:pPr>
            <w:r>
              <w:rPr>
                <w:rFonts w:ascii="Arial" w:cs="Arial" w:eastAsia="Arial" w:hAnsi="Arial"/>
                <w:sz w:val="15"/>
                <w:szCs w:val="15"/>
                <w:color w:val="auto"/>
              </w:rPr>
              <w:t>27</w:t>
            </w:r>
          </w:p>
        </w:tc>
        <w:tc>
          <w:tcPr>
            <w:tcW w:w="20" w:type="dxa"/>
            <w:vAlign w:val="bottom"/>
          </w:tcPr>
          <w:p>
            <w:pPr>
              <w:spacing w:after="0"/>
              <w:rPr>
                <w:sz w:val="24"/>
                <w:szCs w:val="24"/>
                <w:color w:val="auto"/>
              </w:rPr>
            </w:pPr>
          </w:p>
        </w:tc>
      </w:tr>
      <w:tr>
        <w:trPr>
          <w:trHeight w:val="363"/>
        </w:trPr>
        <w:tc>
          <w:tcPr>
            <w:tcW w:w="10080" w:type="dxa"/>
            <w:vAlign w:val="bottom"/>
            <w:gridSpan w:val="7"/>
          </w:tcPr>
          <w:p>
            <w:pPr>
              <w:spacing w:after="0"/>
              <w:rPr>
                <w:sz w:val="20"/>
                <w:szCs w:val="20"/>
                <w:color w:val="auto"/>
              </w:rPr>
            </w:pPr>
            <w:r>
              <w:rPr>
                <w:rFonts w:ascii="Arial" w:cs="Arial" w:eastAsia="Arial" w:hAnsi="Arial"/>
                <w:sz w:val="15"/>
                <w:szCs w:val="15"/>
                <w:color w:val="auto"/>
              </w:rPr>
              <w:t>Notes to Consolidated Financial Statements</w:t>
            </w:r>
          </w:p>
        </w:tc>
        <w:tc>
          <w:tcPr>
            <w:tcW w:w="1360" w:type="dxa"/>
            <w:vAlign w:val="bottom"/>
          </w:tcPr>
          <w:p>
            <w:pPr>
              <w:jc w:val="right"/>
              <w:spacing w:after="0"/>
              <w:rPr>
                <w:sz w:val="20"/>
                <w:szCs w:val="20"/>
                <w:color w:val="auto"/>
              </w:rPr>
            </w:pPr>
            <w:r>
              <w:rPr>
                <w:rFonts w:ascii="Arial" w:cs="Arial" w:eastAsia="Arial" w:hAnsi="Arial"/>
                <w:sz w:val="15"/>
                <w:szCs w:val="15"/>
                <w:color w:val="auto"/>
              </w:rPr>
              <w:t>28-50</w:t>
            </w:r>
          </w:p>
        </w:tc>
        <w:tc>
          <w:tcPr>
            <w:tcW w:w="20" w:type="dxa"/>
            <w:vAlign w:val="bottom"/>
          </w:tcPr>
          <w:p>
            <w:pPr>
              <w:spacing w:after="0"/>
              <w:rPr>
                <w:sz w:val="24"/>
                <w:szCs w:val="24"/>
                <w:color w:val="auto"/>
              </w:rPr>
            </w:pPr>
          </w:p>
        </w:tc>
      </w:tr>
      <w:tr>
        <w:trPr>
          <w:trHeight w:val="386"/>
        </w:trPr>
        <w:tc>
          <w:tcPr>
            <w:tcW w:w="10080" w:type="dxa"/>
            <w:vAlign w:val="bottom"/>
            <w:gridSpan w:val="7"/>
          </w:tcPr>
          <w:p>
            <w:pPr>
              <w:ind w:left="700"/>
              <w:spacing w:after="0"/>
              <w:rPr>
                <w:sz w:val="20"/>
                <w:szCs w:val="20"/>
                <w:color w:val="auto"/>
              </w:rPr>
            </w:pPr>
            <w:r>
              <w:rPr>
                <w:rFonts w:ascii="Arial" w:cs="Arial" w:eastAsia="Arial" w:hAnsi="Arial"/>
                <w:sz w:val="15"/>
                <w:szCs w:val="15"/>
                <w:color w:val="auto"/>
              </w:rPr>
              <w:t>(2) EXHIBITS</w:t>
            </w: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3"/>
        </w:trPr>
        <w:tc>
          <w:tcPr>
            <w:tcW w:w="800" w:type="dxa"/>
            <w:vAlign w:val="bottom"/>
          </w:tcPr>
          <w:p>
            <w:pPr>
              <w:spacing w:after="0"/>
              <w:rPr>
                <w:sz w:val="20"/>
                <w:szCs w:val="20"/>
                <w:color w:val="auto"/>
              </w:rPr>
            </w:pPr>
            <w:r>
              <w:rPr>
                <w:rFonts w:ascii="Arial" w:cs="Arial" w:eastAsia="Arial" w:hAnsi="Arial"/>
                <w:sz w:val="15"/>
                <w:szCs w:val="15"/>
                <w:color w:val="auto"/>
              </w:rPr>
              <w:t>Exhibit 21</w:t>
            </w:r>
          </w:p>
        </w:tc>
        <w:tc>
          <w:tcPr>
            <w:tcW w:w="2000" w:type="dxa"/>
            <w:vAlign w:val="bottom"/>
            <w:tcBorders>
              <w:bottom w:val="single" w:sz="8" w:color="0000EE"/>
            </w:tcBorders>
          </w:tcPr>
          <w:p>
            <w:pPr>
              <w:spacing w:after="0"/>
              <w:rPr>
                <w:sz w:val="20"/>
                <w:szCs w:val="20"/>
                <w:color w:val="auto"/>
              </w:rPr>
            </w:pPr>
            <w:r>
              <w:rPr>
                <w:rFonts w:ascii="Arial" w:cs="Arial" w:eastAsia="Arial" w:hAnsi="Arial"/>
                <w:sz w:val="15"/>
                <w:szCs w:val="15"/>
                <w:color w:val="0000EE"/>
                <w:w w:val="92"/>
              </w:rPr>
              <w:t>List of Subsidiaries of Registrant</w:t>
            </w:r>
          </w:p>
        </w:tc>
        <w:tc>
          <w:tcPr>
            <w:tcW w:w="7280" w:type="dxa"/>
            <w:vAlign w:val="bottom"/>
            <w:gridSpan w:val="5"/>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2"/>
        </w:trPr>
        <w:tc>
          <w:tcPr>
            <w:tcW w:w="800" w:type="dxa"/>
            <w:vAlign w:val="bottom"/>
          </w:tcPr>
          <w:p>
            <w:pPr>
              <w:spacing w:after="0" w:line="161" w:lineRule="exact"/>
              <w:rPr>
                <w:sz w:val="20"/>
                <w:szCs w:val="20"/>
                <w:color w:val="auto"/>
              </w:rPr>
            </w:pPr>
            <w:r>
              <w:rPr>
                <w:rFonts w:ascii="Arial" w:cs="Arial" w:eastAsia="Arial" w:hAnsi="Arial"/>
                <w:sz w:val="15"/>
                <w:szCs w:val="15"/>
                <w:color w:val="auto"/>
                <w:w w:val="99"/>
              </w:rPr>
              <w:t>Exhibit 23.1</w:t>
            </w:r>
          </w:p>
        </w:tc>
        <w:tc>
          <w:tcPr>
            <w:tcW w:w="9280" w:type="dxa"/>
            <w:vAlign w:val="bottom"/>
            <w:gridSpan w:val="6"/>
          </w:tcPr>
          <w:p>
            <w:pPr>
              <w:spacing w:after="0" w:line="161" w:lineRule="exact"/>
              <w:rPr>
                <w:sz w:val="20"/>
                <w:szCs w:val="20"/>
                <w:color w:val="auto"/>
              </w:rPr>
            </w:pPr>
            <w:r>
              <w:rPr>
                <w:rFonts w:ascii="Arial" w:cs="Arial" w:eastAsia="Arial" w:hAnsi="Arial"/>
                <w:sz w:val="15"/>
                <w:szCs w:val="15"/>
                <w:color w:val="0000EE"/>
              </w:rPr>
              <w:t>Consent of Independent Registered Public Accounting Firm</w:t>
            </w: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800" w:type="dxa"/>
            <w:vAlign w:val="bottom"/>
          </w:tcPr>
          <w:p>
            <w:pPr>
              <w:spacing w:after="0" w:line="20" w:lineRule="exact"/>
              <w:rPr>
                <w:sz w:val="1"/>
                <w:szCs w:val="1"/>
                <w:color w:val="auto"/>
              </w:rPr>
            </w:pPr>
          </w:p>
        </w:tc>
        <w:tc>
          <w:tcPr>
            <w:tcW w:w="3620" w:type="dxa"/>
            <w:vAlign w:val="bottom"/>
            <w:gridSpan w:val="2"/>
            <w:shd w:val="clear" w:color="auto" w:fill="0000EE"/>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2"/>
        </w:trPr>
        <w:tc>
          <w:tcPr>
            <w:tcW w:w="800" w:type="dxa"/>
            <w:vAlign w:val="bottom"/>
          </w:tcPr>
          <w:p>
            <w:pPr>
              <w:spacing w:after="0" w:line="161" w:lineRule="exact"/>
              <w:rPr>
                <w:sz w:val="20"/>
                <w:szCs w:val="20"/>
                <w:color w:val="auto"/>
              </w:rPr>
            </w:pPr>
            <w:r>
              <w:rPr>
                <w:rFonts w:ascii="Arial" w:cs="Arial" w:eastAsia="Arial" w:hAnsi="Arial"/>
                <w:sz w:val="15"/>
                <w:szCs w:val="15"/>
                <w:color w:val="auto"/>
                <w:w w:val="99"/>
              </w:rPr>
              <w:t>Exhibit 31.1</w:t>
            </w:r>
          </w:p>
        </w:tc>
        <w:tc>
          <w:tcPr>
            <w:tcW w:w="6260" w:type="dxa"/>
            <w:vAlign w:val="bottom"/>
            <w:tcBorders>
              <w:bottom w:val="single" w:sz="8" w:color="0000EE"/>
            </w:tcBorders>
            <w:gridSpan w:val="4"/>
          </w:tcPr>
          <w:p>
            <w:pPr>
              <w:spacing w:after="0" w:line="161" w:lineRule="exact"/>
              <w:rPr>
                <w:sz w:val="20"/>
                <w:szCs w:val="20"/>
                <w:color w:val="auto"/>
              </w:rPr>
            </w:pPr>
            <w:r>
              <w:rPr>
                <w:rFonts w:ascii="Arial" w:cs="Arial" w:eastAsia="Arial" w:hAnsi="Arial"/>
                <w:sz w:val="15"/>
                <w:szCs w:val="15"/>
                <w:color w:val="0000EE"/>
                <w:w w:val="92"/>
              </w:rPr>
              <w:t>Certification of the Chief Executive Officer pursuant to Section 302 of the Sarbanes-Oxley Act of 2002</w:t>
            </w:r>
          </w:p>
        </w:tc>
        <w:tc>
          <w:tcPr>
            <w:tcW w:w="3020" w:type="dxa"/>
            <w:vAlign w:val="bottom"/>
            <w:gridSpan w:val="2"/>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800" w:type="dxa"/>
            <w:vAlign w:val="bottom"/>
          </w:tcPr>
          <w:p>
            <w:pPr>
              <w:spacing w:after="0" w:line="161" w:lineRule="exact"/>
              <w:rPr>
                <w:sz w:val="20"/>
                <w:szCs w:val="20"/>
                <w:color w:val="auto"/>
              </w:rPr>
            </w:pPr>
            <w:r>
              <w:rPr>
                <w:rFonts w:ascii="Arial" w:cs="Arial" w:eastAsia="Arial" w:hAnsi="Arial"/>
                <w:sz w:val="15"/>
                <w:szCs w:val="15"/>
                <w:color w:val="auto"/>
                <w:w w:val="99"/>
              </w:rPr>
              <w:t>Exhibit 31.2</w:t>
            </w:r>
          </w:p>
        </w:tc>
        <w:tc>
          <w:tcPr>
            <w:tcW w:w="6220" w:type="dxa"/>
            <w:vAlign w:val="bottom"/>
            <w:tcBorders>
              <w:bottom w:val="single" w:sz="8" w:color="0000EE"/>
            </w:tcBorders>
            <w:gridSpan w:val="3"/>
          </w:tcPr>
          <w:p>
            <w:pPr>
              <w:spacing w:after="0" w:line="161" w:lineRule="exact"/>
              <w:rPr>
                <w:sz w:val="20"/>
                <w:szCs w:val="20"/>
                <w:color w:val="auto"/>
              </w:rPr>
            </w:pPr>
            <w:r>
              <w:rPr>
                <w:rFonts w:ascii="Arial" w:cs="Arial" w:eastAsia="Arial" w:hAnsi="Arial"/>
                <w:sz w:val="15"/>
                <w:szCs w:val="15"/>
                <w:color w:val="0000EE"/>
                <w:w w:val="92"/>
              </w:rPr>
              <w:t>Certification of the Chief Financial Officer pursuant to Section 302 of the Sarbanes-Oxley Act of 2002</w:t>
            </w:r>
          </w:p>
        </w:tc>
        <w:tc>
          <w:tcPr>
            <w:tcW w:w="3060" w:type="dxa"/>
            <w:vAlign w:val="bottom"/>
            <w:gridSpan w:val="3"/>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800" w:type="dxa"/>
            <w:vAlign w:val="bottom"/>
          </w:tcPr>
          <w:p>
            <w:pPr>
              <w:spacing w:after="0" w:line="161" w:lineRule="exact"/>
              <w:rPr>
                <w:sz w:val="20"/>
                <w:szCs w:val="20"/>
                <w:color w:val="auto"/>
              </w:rPr>
            </w:pPr>
            <w:r>
              <w:rPr>
                <w:rFonts w:ascii="Arial" w:cs="Arial" w:eastAsia="Arial" w:hAnsi="Arial"/>
                <w:sz w:val="15"/>
                <w:szCs w:val="15"/>
                <w:color w:val="auto"/>
              </w:rPr>
              <w:t>Exhibit 32</w:t>
            </w:r>
          </w:p>
        </w:tc>
        <w:tc>
          <w:tcPr>
            <w:tcW w:w="7960" w:type="dxa"/>
            <w:vAlign w:val="bottom"/>
            <w:tcBorders>
              <w:bottom w:val="single" w:sz="8" w:color="0000EE"/>
            </w:tcBorders>
            <w:gridSpan w:val="5"/>
          </w:tcPr>
          <w:p>
            <w:pPr>
              <w:spacing w:after="0" w:line="161" w:lineRule="exact"/>
              <w:rPr>
                <w:sz w:val="20"/>
                <w:szCs w:val="20"/>
                <w:color w:val="auto"/>
              </w:rPr>
            </w:pPr>
            <w:r>
              <w:rPr>
                <w:rFonts w:ascii="Arial" w:cs="Arial" w:eastAsia="Arial" w:hAnsi="Arial"/>
                <w:sz w:val="15"/>
                <w:szCs w:val="15"/>
                <w:color w:val="0000EE"/>
                <w:w w:val="92"/>
              </w:rPr>
              <w:t>Certification of the Chief Executive Officer and Chief Financial Officer pursuant to Section 906 of the Sarbanes-Oxley Act of 2002</w:t>
            </w: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800" w:type="dxa"/>
            <w:vAlign w:val="bottom"/>
          </w:tcPr>
          <w:p>
            <w:pPr>
              <w:spacing w:after="0"/>
              <w:rPr>
                <w:sz w:val="20"/>
                <w:szCs w:val="20"/>
                <w:color w:val="auto"/>
              </w:rPr>
            </w:pPr>
            <w:r>
              <w:rPr>
                <w:rFonts w:ascii="Arial" w:cs="Arial" w:eastAsia="Arial" w:hAnsi="Arial"/>
                <w:sz w:val="15"/>
                <w:szCs w:val="15"/>
                <w:color w:val="auto"/>
              </w:rPr>
              <w:t>Exhibit 101</w:t>
            </w:r>
          </w:p>
        </w:tc>
        <w:tc>
          <w:tcPr>
            <w:tcW w:w="10660" w:type="dxa"/>
            <w:vAlign w:val="bottom"/>
            <w:gridSpan w:val="8"/>
          </w:tcPr>
          <w:p>
            <w:pPr>
              <w:spacing w:after="0"/>
              <w:rPr>
                <w:sz w:val="20"/>
                <w:szCs w:val="20"/>
                <w:color w:val="auto"/>
              </w:rPr>
            </w:pPr>
            <w:r>
              <w:rPr>
                <w:rFonts w:ascii="Arial" w:cs="Arial" w:eastAsia="Arial" w:hAnsi="Arial"/>
                <w:sz w:val="15"/>
                <w:szCs w:val="15"/>
                <w:color w:val="auto"/>
                <w:w w:val="96"/>
              </w:rPr>
              <w:t>The following materials from the Frequency Electronics, Inc. Annual Report on Form 10-K for the year ended April 30, 2014 formatted in eXtensible Business Reporting</w:t>
            </w:r>
          </w:p>
        </w:tc>
      </w:tr>
      <w:tr>
        <w:trPr>
          <w:trHeight w:val="182"/>
        </w:trPr>
        <w:tc>
          <w:tcPr>
            <w:tcW w:w="800" w:type="dxa"/>
            <w:vAlign w:val="bottom"/>
          </w:tcPr>
          <w:p>
            <w:pPr>
              <w:spacing w:after="0"/>
              <w:rPr>
                <w:sz w:val="15"/>
                <w:szCs w:val="15"/>
                <w:color w:val="auto"/>
              </w:rPr>
            </w:pPr>
          </w:p>
        </w:tc>
        <w:tc>
          <w:tcPr>
            <w:tcW w:w="10660" w:type="dxa"/>
            <w:vAlign w:val="bottom"/>
            <w:gridSpan w:val="8"/>
          </w:tcPr>
          <w:p>
            <w:pPr>
              <w:spacing w:after="0"/>
              <w:rPr>
                <w:sz w:val="20"/>
                <w:szCs w:val="20"/>
                <w:color w:val="auto"/>
              </w:rPr>
            </w:pPr>
            <w:r>
              <w:rPr>
                <w:rFonts w:ascii="Arial" w:cs="Arial" w:eastAsia="Arial" w:hAnsi="Arial"/>
                <w:sz w:val="15"/>
                <w:szCs w:val="15"/>
                <w:color w:val="auto"/>
                <w:w w:val="94"/>
              </w:rPr>
              <w:t>Language (XBRL): (i) Consolidated Balance Sheets, (ii) Consolidated Statements of Income and Comprehensive Income, (iii) Consolidated Statements of Cash Flows, (iv)</w:t>
            </w:r>
          </w:p>
        </w:tc>
      </w:tr>
      <w:tr>
        <w:trPr>
          <w:trHeight w:val="191"/>
        </w:trPr>
        <w:tc>
          <w:tcPr>
            <w:tcW w:w="800" w:type="dxa"/>
            <w:vAlign w:val="bottom"/>
          </w:tcPr>
          <w:p>
            <w:pPr>
              <w:spacing w:after="0"/>
              <w:rPr>
                <w:sz w:val="16"/>
                <w:szCs w:val="16"/>
                <w:color w:val="auto"/>
              </w:rPr>
            </w:pPr>
          </w:p>
        </w:tc>
        <w:tc>
          <w:tcPr>
            <w:tcW w:w="9280" w:type="dxa"/>
            <w:vAlign w:val="bottom"/>
            <w:gridSpan w:val="6"/>
          </w:tcPr>
          <w:p>
            <w:pPr>
              <w:spacing w:after="0"/>
              <w:rPr>
                <w:sz w:val="20"/>
                <w:szCs w:val="20"/>
                <w:color w:val="auto"/>
              </w:rPr>
            </w:pPr>
            <w:r>
              <w:rPr>
                <w:rFonts w:ascii="Arial" w:cs="Arial" w:eastAsia="Arial" w:hAnsi="Arial"/>
                <w:sz w:val="15"/>
                <w:szCs w:val="15"/>
                <w:color w:val="auto"/>
              </w:rPr>
              <w:t>Consolidated Statement of Changes in Stockholders’ Equity and (v) Notes to Consolidated Financial Statements</w:t>
            </w: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r>
    </w:tbl>
    <w:p>
      <w:pPr>
        <w:spacing w:after="0" w:line="172" w:lineRule="exact"/>
        <w:rPr>
          <w:sz w:val="20"/>
          <w:szCs w:val="20"/>
          <w:color w:val="auto"/>
        </w:rPr>
      </w:pPr>
    </w:p>
    <w:p>
      <w:pPr>
        <w:ind w:left="409"/>
        <w:spacing w:after="0"/>
        <w:rPr>
          <w:sz w:val="20"/>
          <w:szCs w:val="20"/>
          <w:color w:val="auto"/>
        </w:rPr>
      </w:pPr>
      <w:r>
        <w:rPr>
          <w:rFonts w:ascii="Arial" w:cs="Arial" w:eastAsia="Arial" w:hAnsi="Arial"/>
          <w:sz w:val="15"/>
          <w:szCs w:val="15"/>
          <w:color w:val="auto"/>
        </w:rPr>
        <w:t>The exhibits listed on the accompanying Index to Exhibits beginning on page 55 are filed as part of this annual report.</w:t>
      </w:r>
    </w:p>
    <w:p>
      <w:pPr>
        <w:spacing w:after="0" w:line="338" w:lineRule="exact"/>
        <w:rPr>
          <w:sz w:val="20"/>
          <w:szCs w:val="20"/>
          <w:color w:val="auto"/>
        </w:rPr>
      </w:pPr>
    </w:p>
    <w:p>
      <w:pPr>
        <w:jc w:val="center"/>
        <w:ind w:right="11"/>
        <w:spacing w:after="0"/>
        <w:rPr>
          <w:sz w:val="20"/>
          <w:szCs w:val="20"/>
          <w:color w:val="auto"/>
        </w:rPr>
      </w:pPr>
      <w:r>
        <w:rPr>
          <w:rFonts w:ascii="Arial" w:cs="Arial" w:eastAsia="Arial" w:hAnsi="Arial"/>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67310</wp:posOffset>
            </wp:positionV>
            <wp:extent cx="7273925" cy="19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925" cy="19685"/>
                    </a:xfrm>
                    <a:prstGeom prst="rect">
                      <a:avLst/>
                    </a:prstGeom>
                    <a:noFill/>
                  </pic:spPr>
                </pic:pic>
              </a:graphicData>
            </a:graphic>
          </wp:anchor>
        </w:drawing>
      </w:r>
    </w:p>
    <w:p>
      <w:pPr>
        <w:sectPr>
          <w:pgSz w:w="11900" w:h="16838" w:orient="portrait"/>
          <w:cols w:equalWidth="0" w:num="1">
            <w:col w:w="11469"/>
          </w:cols>
          <w:pgMar w:left="231" w:top="124" w:right="199" w:bottom="1440" w:gutter="0" w:footer="0" w:header="0"/>
        </w:sectPr>
      </w:pPr>
    </w:p>
    <w:bookmarkStart w:id="53" w:name="page54"/>
    <w:bookmarkEnd w:id="53"/>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217" w:lineRule="exact"/>
        <w:rPr>
          <w:sz w:val="20"/>
          <w:szCs w:val="20"/>
          <w:color w:val="auto"/>
        </w:rPr>
      </w:pPr>
    </w:p>
    <w:p>
      <w:pPr>
        <w:ind w:firstLine="408"/>
        <w:spacing w:after="0" w:line="277" w:lineRule="auto"/>
        <w:rPr>
          <w:sz w:val="20"/>
          <w:szCs w:val="20"/>
          <w:color w:val="auto"/>
        </w:rPr>
      </w:pPr>
      <w:r>
        <w:rPr>
          <w:rFonts w:ascii="Arial" w:cs="Arial" w:eastAsia="Arial" w:hAnsi="Arial"/>
          <w:sz w:val="15"/>
          <w:szCs w:val="15"/>
          <w:color w:val="auto"/>
        </w:rPr>
        <w:t>Pursuant to the requirements of Section 13 or 15 (d) of the Securities Exchange Act of 1934, the Registrant has duly caused this report to be signed on its behalf by the undersigned, thereunto duly authorized.</w:t>
      </w:r>
    </w:p>
    <w:p>
      <w:pPr>
        <w:spacing w:after="0" w:line="165" w:lineRule="exact"/>
        <w:rPr>
          <w:sz w:val="20"/>
          <w:szCs w:val="20"/>
          <w:color w:val="auto"/>
        </w:rPr>
      </w:pPr>
    </w:p>
    <w:p>
      <w:pPr>
        <w:ind w:left="5720"/>
        <w:spacing w:after="0"/>
        <w:rPr>
          <w:sz w:val="20"/>
          <w:szCs w:val="20"/>
          <w:color w:val="auto"/>
        </w:rPr>
      </w:pPr>
      <w:r>
        <w:rPr>
          <w:rFonts w:ascii="Arial" w:cs="Arial" w:eastAsia="Arial" w:hAnsi="Arial"/>
          <w:sz w:val="15"/>
          <w:szCs w:val="15"/>
          <w:b w:val="1"/>
          <w:bCs w:val="1"/>
          <w:color w:val="auto"/>
        </w:rPr>
        <w:t>FREQUENCY ELECTRONICS, INC.</w:t>
      </w:r>
    </w:p>
    <w:p>
      <w:pPr>
        <w:spacing w:after="0" w:line="195"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19685</wp:posOffset>
            </wp:positionV>
            <wp:extent cx="2543175" cy="146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4317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Martin B. Bloch</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President and CEO</w:t>
      </w:r>
    </w:p>
    <w:p>
      <w:pPr>
        <w:spacing w:after="0" w:line="363" w:lineRule="exact"/>
        <w:rPr>
          <w:sz w:val="20"/>
          <w:szCs w:val="20"/>
          <w:color w:val="auto"/>
        </w:rPr>
      </w:pPr>
    </w:p>
    <w:p>
      <w:pPr>
        <w:ind w:left="5720"/>
        <w:spacing w:after="0"/>
        <w:tabs>
          <w:tab w:leader="none" w:pos="604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4"/>
          <w:szCs w:val="14"/>
          <w:color w:val="auto"/>
        </w:rPr>
        <w:t>/s/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3848100</wp:posOffset>
            </wp:positionH>
            <wp:positionV relativeFrom="paragraph">
              <wp:posOffset>19685</wp:posOffset>
            </wp:positionV>
            <wp:extent cx="2543175" cy="1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43175" cy="14605"/>
                    </a:xfrm>
                    <a:prstGeom prst="rect">
                      <a:avLst/>
                    </a:prstGeom>
                    <a:noFill/>
                  </pic:spPr>
                </pic:pic>
              </a:graphicData>
            </a:graphic>
          </wp:anchor>
        </w:drawing>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Alan L. Miller</w:t>
      </w:r>
    </w:p>
    <w:p>
      <w:pPr>
        <w:spacing w:after="0" w:line="18"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Chief Financial Officer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and Secretary/Treasurer</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Dated: July 29, 2014</w:t>
      </w:r>
    </w:p>
    <w:p>
      <w:pPr>
        <w:spacing w:after="0" w:line="213" w:lineRule="exact"/>
        <w:rPr>
          <w:sz w:val="20"/>
          <w:szCs w:val="20"/>
          <w:color w:val="auto"/>
        </w:rPr>
      </w:pPr>
    </w:p>
    <w:p>
      <w:pPr>
        <w:ind w:firstLine="408"/>
        <w:spacing w:after="0" w:line="277" w:lineRule="auto"/>
        <w:rPr>
          <w:sz w:val="20"/>
          <w:szCs w:val="20"/>
          <w:color w:val="auto"/>
        </w:rPr>
      </w:pPr>
      <w:r>
        <w:rPr>
          <w:rFonts w:ascii="Arial" w:cs="Arial" w:eastAsia="Arial" w:hAnsi="Arial"/>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5"/>
                <w:szCs w:val="15"/>
                <w:b w:val="1"/>
                <w:bCs w:val="1"/>
                <w:color w:val="auto"/>
              </w:rPr>
              <w:t>Signature</w:t>
            </w:r>
          </w:p>
        </w:tc>
        <w:tc>
          <w:tcPr>
            <w:tcW w:w="1160" w:type="dxa"/>
            <w:vAlign w:val="bottom"/>
          </w:tcPr>
          <w:p>
            <w:pPr>
              <w:spacing w:after="0"/>
              <w:rPr>
                <w:sz w:val="17"/>
                <w:szCs w:val="17"/>
                <w:color w:val="auto"/>
              </w:rPr>
            </w:pPr>
          </w:p>
        </w:tc>
        <w:tc>
          <w:tcPr>
            <w:tcW w:w="3440" w:type="dxa"/>
            <w:vAlign w:val="bottom"/>
            <w:tcBorders>
              <w:bottom w:val="single" w:sz="8" w:color="auto"/>
            </w:tcBorders>
          </w:tcPr>
          <w:p>
            <w:pPr>
              <w:ind w:left="1560"/>
              <w:spacing w:after="0"/>
              <w:rPr>
                <w:sz w:val="20"/>
                <w:szCs w:val="20"/>
                <w:color w:val="auto"/>
              </w:rPr>
            </w:pPr>
            <w:r>
              <w:rPr>
                <w:rFonts w:ascii="Arial" w:cs="Arial" w:eastAsia="Arial" w:hAnsi="Arial"/>
                <w:sz w:val="15"/>
                <w:szCs w:val="15"/>
                <w:b w:val="1"/>
                <w:bCs w:val="1"/>
                <w:color w:val="auto"/>
              </w:rPr>
              <w:t>Title</w:t>
            </w:r>
          </w:p>
        </w:tc>
        <w:tc>
          <w:tcPr>
            <w:tcW w:w="1140" w:type="dxa"/>
            <w:vAlign w:val="bottom"/>
          </w:tcPr>
          <w:p>
            <w:pPr>
              <w:spacing w:after="0"/>
              <w:rPr>
                <w:sz w:val="17"/>
                <w:szCs w:val="17"/>
                <w:color w:val="auto"/>
              </w:rPr>
            </w:pPr>
          </w:p>
        </w:tc>
        <w:tc>
          <w:tcPr>
            <w:tcW w:w="2280" w:type="dxa"/>
            <w:vAlign w:val="bottom"/>
            <w:tcBorders>
              <w:bottom w:val="single" w:sz="8" w:color="auto"/>
            </w:tcBorders>
          </w:tcPr>
          <w:p>
            <w:pPr>
              <w:jc w:val="right"/>
              <w:ind w:right="924"/>
              <w:spacing w:after="0"/>
              <w:rPr>
                <w:sz w:val="20"/>
                <w:szCs w:val="20"/>
                <w:color w:val="auto"/>
              </w:rPr>
            </w:pPr>
            <w:r>
              <w:rPr>
                <w:rFonts w:ascii="Arial" w:cs="Arial" w:eastAsia="Arial" w:hAnsi="Arial"/>
                <w:sz w:val="15"/>
                <w:szCs w:val="15"/>
                <w:b w:val="1"/>
                <w:bCs w:val="1"/>
                <w:color w:val="auto"/>
              </w:rPr>
              <w:t>Date</w:t>
            </w:r>
          </w:p>
        </w:tc>
      </w:tr>
      <w:tr>
        <w:trPr>
          <w:trHeight w:val="366"/>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Joseph P. Franklin</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Chairman of the Board</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91"/>
        </w:trPr>
        <w:tc>
          <w:tcPr>
            <w:tcW w:w="3420" w:type="dxa"/>
            <w:vAlign w:val="bottom"/>
          </w:tcPr>
          <w:p>
            <w:pPr>
              <w:spacing w:after="0"/>
              <w:rPr>
                <w:sz w:val="20"/>
                <w:szCs w:val="20"/>
                <w:color w:val="auto"/>
              </w:rPr>
            </w:pPr>
            <w:r>
              <w:rPr>
                <w:rFonts w:ascii="Arial" w:cs="Arial" w:eastAsia="Arial" w:hAnsi="Arial"/>
                <w:sz w:val="15"/>
                <w:szCs w:val="15"/>
                <w:color w:val="auto"/>
              </w:rPr>
              <w:t>Joseph P. Franklin</w:t>
            </w:r>
          </w:p>
        </w:tc>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Joel Girsky</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Director</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91"/>
        </w:trPr>
        <w:tc>
          <w:tcPr>
            <w:tcW w:w="3420" w:type="dxa"/>
            <w:vAlign w:val="bottom"/>
          </w:tcPr>
          <w:p>
            <w:pPr>
              <w:spacing w:after="0"/>
              <w:rPr>
                <w:sz w:val="20"/>
                <w:szCs w:val="20"/>
                <w:color w:val="auto"/>
              </w:rPr>
            </w:pPr>
            <w:r>
              <w:rPr>
                <w:rFonts w:ascii="Arial" w:cs="Arial" w:eastAsia="Arial" w:hAnsi="Arial"/>
                <w:sz w:val="15"/>
                <w:szCs w:val="15"/>
                <w:color w:val="auto"/>
              </w:rPr>
              <w:t>Joel Girsky</w:t>
            </w:r>
          </w:p>
        </w:tc>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S. Robert Foley</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Director</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91"/>
        </w:trPr>
        <w:tc>
          <w:tcPr>
            <w:tcW w:w="3420" w:type="dxa"/>
            <w:vAlign w:val="bottom"/>
          </w:tcPr>
          <w:p>
            <w:pPr>
              <w:spacing w:after="0"/>
              <w:rPr>
                <w:sz w:val="20"/>
                <w:szCs w:val="20"/>
                <w:color w:val="auto"/>
              </w:rPr>
            </w:pPr>
            <w:r>
              <w:rPr>
                <w:rFonts w:ascii="Arial" w:cs="Arial" w:eastAsia="Arial" w:hAnsi="Arial"/>
                <w:sz w:val="15"/>
                <w:szCs w:val="15"/>
                <w:color w:val="auto"/>
              </w:rPr>
              <w:t>S. Robert Foley</w:t>
            </w:r>
          </w:p>
        </w:tc>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34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Richard Schwartz</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Director</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91"/>
        </w:trPr>
        <w:tc>
          <w:tcPr>
            <w:tcW w:w="3420" w:type="dxa"/>
            <w:vAlign w:val="bottom"/>
          </w:tcPr>
          <w:p>
            <w:pPr>
              <w:spacing w:after="0"/>
              <w:rPr>
                <w:sz w:val="20"/>
                <w:szCs w:val="20"/>
                <w:color w:val="auto"/>
              </w:rPr>
            </w:pPr>
            <w:r>
              <w:rPr>
                <w:rFonts w:ascii="Arial" w:cs="Arial" w:eastAsia="Arial" w:hAnsi="Arial"/>
                <w:sz w:val="15"/>
                <w:szCs w:val="15"/>
                <w:color w:val="auto"/>
              </w:rPr>
              <w:t>Richard Schwartz</w:t>
            </w:r>
          </w:p>
        </w:tc>
        <w:tc>
          <w:tcPr>
            <w:tcW w:w="11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Martin B. Bloch</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President and CEO</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91"/>
        </w:trPr>
        <w:tc>
          <w:tcPr>
            <w:tcW w:w="3420" w:type="dxa"/>
            <w:vAlign w:val="bottom"/>
          </w:tcPr>
          <w:p>
            <w:pPr>
              <w:spacing w:after="0"/>
              <w:rPr>
                <w:sz w:val="20"/>
                <w:szCs w:val="20"/>
                <w:color w:val="auto"/>
              </w:rPr>
            </w:pPr>
            <w:r>
              <w:rPr>
                <w:rFonts w:ascii="Arial" w:cs="Arial" w:eastAsia="Arial" w:hAnsi="Arial"/>
                <w:sz w:val="15"/>
                <w:szCs w:val="15"/>
                <w:color w:val="auto"/>
              </w:rPr>
              <w:t>Martin B. Bloch</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(Principal Executive Officer)</w:t>
            </w: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356"/>
        </w:trPr>
        <w:tc>
          <w:tcPr>
            <w:tcW w:w="3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Alan L. Miller</w:t>
            </w: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Chief Financial Officer</w:t>
            </w:r>
          </w:p>
        </w:tc>
        <w:tc>
          <w:tcPr>
            <w:tcW w:w="3420" w:type="dxa"/>
            <w:vAlign w:val="bottom"/>
            <w:gridSpan w:val="2"/>
          </w:tcPr>
          <w:p>
            <w:pPr>
              <w:jc w:val="right"/>
              <w:ind w:right="1744"/>
              <w:spacing w:after="0"/>
              <w:rPr>
                <w:sz w:val="20"/>
                <w:szCs w:val="20"/>
                <w:color w:val="auto"/>
              </w:rPr>
            </w:pPr>
            <w:r>
              <w:rPr>
                <w:rFonts w:ascii="Arial" w:cs="Arial" w:eastAsia="Arial" w:hAnsi="Arial"/>
                <w:sz w:val="15"/>
                <w:szCs w:val="15"/>
                <w:color w:val="auto"/>
              </w:rPr>
              <w:t>7/29/14</w:t>
            </w:r>
          </w:p>
        </w:tc>
      </w:tr>
      <w:tr>
        <w:trPr>
          <w:trHeight w:val="171"/>
        </w:trPr>
        <w:tc>
          <w:tcPr>
            <w:tcW w:w="3420" w:type="dxa"/>
            <w:vAlign w:val="bottom"/>
          </w:tcPr>
          <w:p>
            <w:pPr>
              <w:spacing w:after="0" w:line="171" w:lineRule="exact"/>
              <w:rPr>
                <w:sz w:val="20"/>
                <w:szCs w:val="20"/>
                <w:color w:val="auto"/>
              </w:rPr>
            </w:pPr>
            <w:r>
              <w:rPr>
                <w:rFonts w:ascii="Arial" w:cs="Arial" w:eastAsia="Arial" w:hAnsi="Arial"/>
                <w:sz w:val="15"/>
                <w:szCs w:val="15"/>
                <w:color w:val="auto"/>
              </w:rPr>
              <w:t>Alan L. Miller</w:t>
            </w:r>
          </w:p>
        </w:tc>
        <w:tc>
          <w:tcPr>
            <w:tcW w:w="4600" w:type="dxa"/>
            <w:vAlign w:val="bottom"/>
            <w:gridSpan w:val="2"/>
          </w:tcPr>
          <w:p>
            <w:pPr>
              <w:ind w:left="1160"/>
              <w:spacing w:after="0" w:line="171" w:lineRule="exact"/>
              <w:rPr>
                <w:sz w:val="20"/>
                <w:szCs w:val="20"/>
                <w:color w:val="auto"/>
              </w:rPr>
            </w:pPr>
            <w:r>
              <w:rPr>
                <w:rFonts w:ascii="Arial" w:cs="Arial" w:eastAsia="Arial" w:hAnsi="Arial"/>
                <w:sz w:val="15"/>
                <w:szCs w:val="15"/>
                <w:color w:val="auto"/>
              </w:rPr>
              <w:t>and Secretary/Treasurer</w:t>
            </w:r>
          </w:p>
        </w:tc>
        <w:tc>
          <w:tcPr>
            <w:tcW w:w="1140" w:type="dxa"/>
            <w:vAlign w:val="bottom"/>
          </w:tcPr>
          <w:p>
            <w:pPr>
              <w:spacing w:after="0"/>
              <w:rPr>
                <w:sz w:val="14"/>
                <w:szCs w:val="14"/>
                <w:color w:val="auto"/>
              </w:rPr>
            </w:pPr>
          </w:p>
        </w:tc>
        <w:tc>
          <w:tcPr>
            <w:tcW w:w="2280" w:type="dxa"/>
            <w:vAlign w:val="bottom"/>
          </w:tcPr>
          <w:p>
            <w:pPr>
              <w:spacing w:after="0"/>
              <w:rPr>
                <w:sz w:val="14"/>
                <w:szCs w:val="14"/>
                <w:color w:val="auto"/>
              </w:rPr>
            </w:pPr>
          </w:p>
        </w:tc>
      </w:tr>
      <w:tr>
        <w:trPr>
          <w:trHeight w:val="182"/>
        </w:trPr>
        <w:tc>
          <w:tcPr>
            <w:tcW w:w="3420" w:type="dxa"/>
            <w:vAlign w:val="bottom"/>
          </w:tcPr>
          <w:p>
            <w:pPr>
              <w:spacing w:after="0"/>
              <w:rPr>
                <w:sz w:val="15"/>
                <w:szCs w:val="15"/>
                <w:color w:val="auto"/>
              </w:rPr>
            </w:pP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(Principal Financial and</w:t>
            </w:r>
          </w:p>
        </w:tc>
        <w:tc>
          <w:tcPr>
            <w:tcW w:w="11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1"/>
        </w:trPr>
        <w:tc>
          <w:tcPr>
            <w:tcW w:w="3420" w:type="dxa"/>
            <w:vAlign w:val="bottom"/>
          </w:tcPr>
          <w:p>
            <w:pPr>
              <w:spacing w:after="0"/>
              <w:rPr>
                <w:sz w:val="16"/>
                <w:szCs w:val="16"/>
                <w:color w:val="auto"/>
              </w:rPr>
            </w:pPr>
          </w:p>
        </w:tc>
        <w:tc>
          <w:tcPr>
            <w:tcW w:w="4600" w:type="dxa"/>
            <w:vAlign w:val="bottom"/>
            <w:gridSpan w:val="2"/>
          </w:tcPr>
          <w:p>
            <w:pPr>
              <w:ind w:left="1160"/>
              <w:spacing w:after="0"/>
              <w:rPr>
                <w:sz w:val="20"/>
                <w:szCs w:val="20"/>
                <w:color w:val="auto"/>
              </w:rPr>
            </w:pPr>
            <w:r>
              <w:rPr>
                <w:rFonts w:ascii="Arial" w:cs="Arial" w:eastAsia="Arial" w:hAnsi="Arial"/>
                <w:sz w:val="15"/>
                <w:szCs w:val="15"/>
                <w:color w:val="auto"/>
              </w:rPr>
              <w:t>Accounting Officer)</w:t>
            </w:r>
          </w:p>
        </w:tc>
        <w:tc>
          <w:tcPr>
            <w:tcW w:w="114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10"/>
        </w:trPr>
        <w:tc>
          <w:tcPr>
            <w:tcW w:w="3420" w:type="dxa"/>
            <w:vAlign w:val="bottom"/>
          </w:tcPr>
          <w:p>
            <w:pPr>
              <w:spacing w:after="0"/>
              <w:rPr>
                <w:sz w:val="24"/>
                <w:szCs w:val="24"/>
                <w:color w:val="auto"/>
              </w:rPr>
            </w:pPr>
          </w:p>
        </w:tc>
        <w:tc>
          <w:tcPr>
            <w:tcW w:w="4600" w:type="dxa"/>
            <w:vAlign w:val="bottom"/>
            <w:gridSpan w:val="2"/>
          </w:tcPr>
          <w:p>
            <w:pPr>
              <w:ind w:left="2220"/>
              <w:spacing w:after="0"/>
              <w:rPr>
                <w:sz w:val="20"/>
                <w:szCs w:val="20"/>
                <w:color w:val="auto"/>
              </w:rPr>
            </w:pPr>
            <w:r>
              <w:rPr>
                <w:rFonts w:ascii="Arial" w:cs="Arial" w:eastAsia="Arial" w:hAnsi="Arial"/>
                <w:sz w:val="15"/>
                <w:szCs w:val="15"/>
                <w:color w:val="auto"/>
              </w:rPr>
              <w:t>54</w:t>
            </w: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99"/>
        </w:trPr>
        <w:tc>
          <w:tcPr>
            <w:tcW w:w="3420" w:type="dxa"/>
            <w:vAlign w:val="bottom"/>
            <w:tcBorders>
              <w:bottom w:val="single" w:sz="8" w:color="808080"/>
            </w:tcBorders>
          </w:tcPr>
          <w:p>
            <w:pPr>
              <w:spacing w:after="0"/>
              <w:rPr>
                <w:sz w:val="8"/>
                <w:szCs w:val="8"/>
                <w:color w:val="auto"/>
              </w:rPr>
            </w:pPr>
          </w:p>
        </w:tc>
        <w:tc>
          <w:tcPr>
            <w:tcW w:w="1160" w:type="dxa"/>
            <w:vAlign w:val="bottom"/>
            <w:tcBorders>
              <w:bottom w:val="single" w:sz="8" w:color="808080"/>
            </w:tcBorders>
          </w:tcPr>
          <w:p>
            <w:pPr>
              <w:spacing w:after="0"/>
              <w:rPr>
                <w:sz w:val="8"/>
                <w:szCs w:val="8"/>
                <w:color w:val="auto"/>
              </w:rPr>
            </w:pPr>
          </w:p>
        </w:tc>
        <w:tc>
          <w:tcPr>
            <w:tcW w:w="3440" w:type="dxa"/>
            <w:vAlign w:val="bottom"/>
            <w:tcBorders>
              <w:bottom w:val="single" w:sz="8" w:color="808080"/>
            </w:tcBorders>
          </w:tcPr>
          <w:p>
            <w:pPr>
              <w:spacing w:after="0"/>
              <w:rPr>
                <w:sz w:val="8"/>
                <w:szCs w:val="8"/>
                <w:color w:val="auto"/>
              </w:rPr>
            </w:pPr>
          </w:p>
        </w:tc>
        <w:tc>
          <w:tcPr>
            <w:tcW w:w="1140" w:type="dxa"/>
            <w:vAlign w:val="bottom"/>
            <w:tcBorders>
              <w:bottom w:val="single" w:sz="8" w:color="808080"/>
            </w:tcBorders>
          </w:tcPr>
          <w:p>
            <w:pPr>
              <w:spacing w:after="0"/>
              <w:rPr>
                <w:sz w:val="8"/>
                <w:szCs w:val="8"/>
                <w:color w:val="auto"/>
              </w:rPr>
            </w:pPr>
          </w:p>
        </w:tc>
        <w:tc>
          <w:tcPr>
            <w:tcW w:w="228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4" w:name="page55"/>
    <w:bookmarkEnd w:id="54"/>
    <w:p>
      <w:pPr>
        <w:spacing w:after="0"/>
        <w:rPr>
          <w:rFonts w:ascii="Arial" w:cs="Arial" w:eastAsia="Arial" w:hAnsi="Arial"/>
          <w:sz w:val="12"/>
          <w:szCs w:val="12"/>
          <w:u w:val="single" w:color="auto"/>
          <w:color w:val="0000EE"/>
        </w:rPr>
      </w:pPr>
      <w:hyperlink w:anchor="page2">
        <w:r>
          <w:rPr>
            <w:rFonts w:ascii="Arial" w:cs="Arial" w:eastAsia="Arial" w:hAnsi="Arial"/>
            <w:sz w:val="12"/>
            <w:szCs w:val="12"/>
            <w:u w:val="single" w:color="auto"/>
            <w:color w:val="0000EE"/>
          </w:rPr>
          <w:t>Table of Contents</w:t>
        </w:r>
      </w:hyperlink>
    </w:p>
    <w:p>
      <w:pPr>
        <w:spacing w:after="0" w:line="192" w:lineRule="exact"/>
        <w:rPr>
          <w:sz w:val="20"/>
          <w:szCs w:val="20"/>
          <w:color w:val="auto"/>
        </w:rPr>
      </w:pPr>
    </w:p>
    <w:p>
      <w:pPr>
        <w:jc w:val="center"/>
        <w:ind w:right="440"/>
        <w:spacing w:after="0"/>
        <w:rPr>
          <w:sz w:val="20"/>
          <w:szCs w:val="20"/>
          <w:color w:val="auto"/>
        </w:rPr>
      </w:pPr>
      <w:r>
        <w:rPr>
          <w:rFonts w:ascii="Arial" w:cs="Arial" w:eastAsia="Arial" w:hAnsi="Arial"/>
          <w:sz w:val="15"/>
          <w:szCs w:val="15"/>
          <w:b w:val="1"/>
          <w:bCs w:val="1"/>
          <w:color w:val="auto"/>
        </w:rPr>
        <w:t>INDEX TO EXHIBITS</w:t>
      </w:r>
    </w:p>
    <w:p>
      <w:pPr>
        <w:spacing w:after="0" w:line="217"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ITEM 15(a)(3)</w:t>
      </w:r>
    </w:p>
    <w:p>
      <w:pPr>
        <w:spacing w:after="0" w:line="213" w:lineRule="exact"/>
        <w:rPr>
          <w:sz w:val="20"/>
          <w:szCs w:val="20"/>
          <w:color w:val="auto"/>
        </w:rPr>
      </w:pPr>
    </w:p>
    <w:p>
      <w:pPr>
        <w:ind w:right="440"/>
        <w:spacing w:after="0" w:line="277" w:lineRule="auto"/>
        <w:rPr>
          <w:sz w:val="20"/>
          <w:szCs w:val="20"/>
          <w:color w:val="auto"/>
        </w:rPr>
      </w:pPr>
      <w:r>
        <w:rPr>
          <w:rFonts w:ascii="Arial" w:cs="Arial" w:eastAsia="Arial" w:hAnsi="Arial"/>
          <w:sz w:val="15"/>
          <w:szCs w:val="15"/>
          <w:color w:val="auto"/>
        </w:rPr>
        <w:t>Certain of the following exhibits were filed with the Securities and Exchange Commission as exhibits, numbered as indicated below, to the Registration Statement or report specified below, which exhibits are incorporated herein by reference: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380" w:type="dxa"/>
            <w:vAlign w:val="bottom"/>
          </w:tcPr>
          <w:p>
            <w:pPr>
              <w:spacing w:after="0"/>
              <w:rPr>
                <w:sz w:val="20"/>
                <w:szCs w:val="20"/>
                <w:color w:val="auto"/>
              </w:rPr>
            </w:pPr>
            <w:r>
              <w:rPr>
                <w:rFonts w:ascii="Arial" w:cs="Arial" w:eastAsia="Arial" w:hAnsi="Arial"/>
                <w:sz w:val="15"/>
                <w:szCs w:val="15"/>
                <w:b w:val="1"/>
                <w:bCs w:val="1"/>
                <w:color w:val="auto"/>
              </w:rPr>
              <w:t>Exhibit No. in</w:t>
            </w:r>
          </w:p>
        </w:tc>
        <w:tc>
          <w:tcPr>
            <w:tcW w:w="120" w:type="dxa"/>
            <w:vAlign w:val="bottom"/>
          </w:tcPr>
          <w:p>
            <w:pPr>
              <w:spacing w:after="0"/>
              <w:rPr>
                <w:sz w:val="15"/>
                <w:szCs w:val="15"/>
                <w:color w:val="auto"/>
              </w:rPr>
            </w:pPr>
          </w:p>
        </w:tc>
        <w:tc>
          <w:tcPr>
            <w:tcW w:w="3700" w:type="dxa"/>
            <w:vAlign w:val="bottom"/>
          </w:tcPr>
          <w:p>
            <w:pPr>
              <w:spacing w:after="0"/>
              <w:rPr>
                <w:sz w:val="15"/>
                <w:szCs w:val="15"/>
                <w:color w:val="auto"/>
              </w:rPr>
            </w:pPr>
          </w:p>
        </w:tc>
        <w:tc>
          <w:tcPr>
            <w:tcW w:w="3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9"/>
        </w:trPr>
        <w:tc>
          <w:tcPr>
            <w:tcW w:w="138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this Form 10-K</w:t>
            </w:r>
          </w:p>
        </w:tc>
        <w:tc>
          <w:tcPr>
            <w:tcW w:w="120" w:type="dxa"/>
            <w:vAlign w:val="bottom"/>
          </w:tcPr>
          <w:p>
            <w:pPr>
              <w:spacing w:after="0"/>
              <w:rPr>
                <w:sz w:val="17"/>
                <w:szCs w:val="17"/>
                <w:color w:val="auto"/>
              </w:rPr>
            </w:pPr>
          </w:p>
        </w:tc>
        <w:tc>
          <w:tcPr>
            <w:tcW w:w="37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Description of Exhibit</w:t>
            </w:r>
          </w:p>
        </w:tc>
        <w:tc>
          <w:tcPr>
            <w:tcW w:w="35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900" w:type="dxa"/>
            <w:vAlign w:val="bottom"/>
          </w:tcPr>
          <w:p>
            <w:pPr>
              <w:spacing w:after="0"/>
              <w:rPr>
                <w:sz w:val="17"/>
                <w:szCs w:val="17"/>
                <w:color w:val="auto"/>
              </w:rPr>
            </w:pPr>
          </w:p>
        </w:tc>
        <w:tc>
          <w:tcPr>
            <w:tcW w:w="800" w:type="dxa"/>
            <w:vAlign w:val="bottom"/>
            <w:tcBorders>
              <w:bottom w:val="single" w:sz="8" w:color="auto"/>
            </w:tcBorders>
          </w:tcPr>
          <w:p>
            <w:pPr>
              <w:ind w:left="180"/>
              <w:spacing w:after="0"/>
              <w:rPr>
                <w:sz w:val="20"/>
                <w:szCs w:val="20"/>
                <w:color w:val="auto"/>
              </w:rPr>
            </w:pPr>
            <w:r>
              <w:rPr>
                <w:rFonts w:ascii="Arial" w:cs="Arial" w:eastAsia="Arial" w:hAnsi="Arial"/>
                <w:sz w:val="15"/>
                <w:szCs w:val="15"/>
                <w:b w:val="1"/>
                <w:bCs w:val="1"/>
                <w:color w:val="auto"/>
              </w:rPr>
              <w:t>NOTE</w:t>
            </w:r>
          </w:p>
        </w:tc>
      </w:tr>
      <w:tr>
        <w:trPr>
          <w:trHeight w:val="352"/>
        </w:trPr>
        <w:tc>
          <w:tcPr>
            <w:tcW w:w="1380" w:type="dxa"/>
            <w:vAlign w:val="bottom"/>
          </w:tcPr>
          <w:p>
            <w:pPr>
              <w:spacing w:after="0"/>
              <w:rPr>
                <w:sz w:val="20"/>
                <w:szCs w:val="20"/>
                <w:color w:val="auto"/>
              </w:rPr>
            </w:pPr>
            <w:r>
              <w:rPr>
                <w:rFonts w:ascii="Arial" w:cs="Arial" w:eastAsia="Arial" w:hAnsi="Arial"/>
                <w:sz w:val="15"/>
                <w:szCs w:val="15"/>
                <w:color w:val="auto"/>
              </w:rPr>
              <w:t>2.1</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2"/>
              </w:rPr>
              <w:t>Stock Purchase Agreement, dated as of February 21, 2012,</w:t>
            </w:r>
          </w:p>
        </w:tc>
        <w:tc>
          <w:tcPr>
            <w:tcW w:w="3560" w:type="dxa"/>
            <w:vAlign w:val="bottom"/>
          </w:tcPr>
          <w:p>
            <w:pPr>
              <w:ind w:left="100"/>
              <w:spacing w:after="0"/>
              <w:rPr>
                <w:sz w:val="20"/>
                <w:szCs w:val="20"/>
                <w:color w:val="auto"/>
              </w:rPr>
            </w:pPr>
            <w:r>
              <w:rPr>
                <w:rFonts w:ascii="Arial" w:cs="Arial" w:eastAsia="Arial" w:hAnsi="Arial"/>
                <w:sz w:val="15"/>
                <w:szCs w:val="15"/>
                <w:color w:val="auto"/>
                <w:w w:val="94"/>
              </w:rPr>
              <w:t>by and among the Registrant, Elcom Technologies Inc.</w:t>
            </w:r>
          </w:p>
        </w:tc>
        <w:tc>
          <w:tcPr>
            <w:tcW w:w="980" w:type="dxa"/>
            <w:vAlign w:val="bottom"/>
          </w:tcPr>
          <w:p>
            <w:pPr>
              <w:jc w:val="right"/>
              <w:ind w:right="364"/>
              <w:spacing w:after="0"/>
              <w:rPr>
                <w:sz w:val="20"/>
                <w:szCs w:val="20"/>
                <w:color w:val="auto"/>
              </w:rPr>
            </w:pPr>
            <w:r>
              <w:rPr>
                <w:rFonts w:ascii="Arial" w:cs="Arial" w:eastAsia="Arial" w:hAnsi="Arial"/>
                <w:sz w:val="15"/>
                <w:szCs w:val="15"/>
                <w:color w:val="auto"/>
              </w:rPr>
              <w:t>and the</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9"/>
              </w:rPr>
              <w:t>(12)</w:t>
            </w:r>
          </w:p>
        </w:tc>
      </w:tr>
      <w:tr>
        <w:trPr>
          <w:trHeight w:val="191"/>
        </w:trPr>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stockholders of Elcom Technologies Inc. identified on the signature pages thereto</w:t>
            </w: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3.1</w:t>
            </w:r>
          </w:p>
        </w:tc>
        <w:tc>
          <w:tcPr>
            <w:tcW w:w="1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Copy of Certificate of Incorporation of the Registrant  filed with the Secretary of State of Delaware</w:t>
            </w: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(1)</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3.2</w:t>
            </w:r>
          </w:p>
        </w:tc>
        <w:tc>
          <w:tcPr>
            <w:tcW w:w="12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5"/>
                <w:szCs w:val="15"/>
                <w:color w:val="auto"/>
                <w:w w:val="99"/>
              </w:rPr>
              <w:t>Amendment to Certificate of Incorporation of the  Registrant filed with the Secretary of State  of Delaware on March 27, 1981</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(2)</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3.3</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3"/>
              </w:rPr>
              <w:t>Amendment to Certificate of Incorporation of the Registrant</w:t>
            </w:r>
          </w:p>
        </w:tc>
        <w:tc>
          <w:tcPr>
            <w:tcW w:w="4540" w:type="dxa"/>
            <w:vAlign w:val="bottom"/>
            <w:gridSpan w:val="2"/>
          </w:tcPr>
          <w:p>
            <w:pPr>
              <w:ind w:left="60"/>
              <w:spacing w:after="0"/>
              <w:rPr>
                <w:sz w:val="20"/>
                <w:szCs w:val="20"/>
                <w:color w:val="auto"/>
              </w:rPr>
            </w:pPr>
            <w:r>
              <w:rPr>
                <w:rFonts w:ascii="Arial" w:cs="Arial" w:eastAsia="Arial" w:hAnsi="Arial"/>
                <w:sz w:val="15"/>
                <w:szCs w:val="15"/>
                <w:color w:val="auto"/>
              </w:rPr>
              <w:t>filed with Secretary of State of Delaware on October 26, 1984</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(5)</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3.4</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3"/>
              </w:rPr>
              <w:t>Amendment to Certificate of Incorporation of the Registrant</w:t>
            </w:r>
          </w:p>
        </w:tc>
        <w:tc>
          <w:tcPr>
            <w:tcW w:w="4540" w:type="dxa"/>
            <w:vAlign w:val="bottom"/>
            <w:gridSpan w:val="2"/>
          </w:tcPr>
          <w:p>
            <w:pPr>
              <w:ind w:left="60"/>
              <w:spacing w:after="0"/>
              <w:rPr>
                <w:sz w:val="20"/>
                <w:szCs w:val="20"/>
                <w:color w:val="auto"/>
              </w:rPr>
            </w:pPr>
            <w:r>
              <w:rPr>
                <w:rFonts w:ascii="Arial" w:cs="Arial" w:eastAsia="Arial" w:hAnsi="Arial"/>
                <w:sz w:val="15"/>
                <w:szCs w:val="15"/>
                <w:color w:val="auto"/>
              </w:rPr>
              <w:t>filed with the Secretary of State of Delaware on October 22, 1986</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(7)</w:t>
            </w:r>
          </w:p>
        </w:tc>
      </w:tr>
      <w:tr>
        <w:trPr>
          <w:trHeight w:val="354"/>
        </w:trPr>
        <w:tc>
          <w:tcPr>
            <w:tcW w:w="1380" w:type="dxa"/>
            <w:vAlign w:val="bottom"/>
          </w:tcPr>
          <w:p>
            <w:pPr>
              <w:spacing w:after="0"/>
              <w:rPr>
                <w:sz w:val="20"/>
                <w:szCs w:val="20"/>
                <w:color w:val="auto"/>
              </w:rPr>
            </w:pPr>
            <w:r>
              <w:rPr>
                <w:rFonts w:ascii="Arial" w:cs="Arial" w:eastAsia="Arial" w:hAnsi="Arial"/>
                <w:sz w:val="15"/>
                <w:szCs w:val="15"/>
                <w:color w:val="auto"/>
              </w:rPr>
              <w:t>3.5</w:t>
            </w:r>
          </w:p>
        </w:tc>
        <w:tc>
          <w:tcPr>
            <w:tcW w:w="1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w w:val="93"/>
              </w:rPr>
              <w:t>Amended and Restated Certificate of Incorporation of the  Registrant filed with the Secretary of State of Delaware on</w:t>
            </w:r>
          </w:p>
        </w:tc>
        <w:tc>
          <w:tcPr>
            <w:tcW w:w="980" w:type="dxa"/>
            <w:vAlign w:val="bottom"/>
          </w:tcPr>
          <w:p>
            <w:pPr>
              <w:jc w:val="right"/>
              <w:ind w:right="364"/>
              <w:spacing w:after="0"/>
              <w:rPr>
                <w:sz w:val="20"/>
                <w:szCs w:val="20"/>
                <w:color w:val="auto"/>
              </w:rPr>
            </w:pPr>
            <w:r>
              <w:rPr>
                <w:rFonts w:ascii="Arial" w:cs="Arial" w:eastAsia="Arial" w:hAnsi="Arial"/>
                <w:sz w:val="15"/>
                <w:szCs w:val="15"/>
                <w:color w:val="auto"/>
                <w:w w:val="97"/>
              </w:rPr>
              <w:t>October</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(9)</w:t>
            </w:r>
          </w:p>
        </w:tc>
      </w:tr>
      <w:tr>
        <w:trPr>
          <w:trHeight w:val="191"/>
        </w:trPr>
        <w:tc>
          <w:tcPr>
            <w:tcW w:w="1380" w:type="dxa"/>
            <w:vAlign w:val="bottom"/>
          </w:tcPr>
          <w:p>
            <w:pPr>
              <w:spacing w:after="0"/>
              <w:rPr>
                <w:sz w:val="16"/>
                <w:szCs w:val="16"/>
                <w:color w:val="auto"/>
              </w:rPr>
            </w:pPr>
          </w:p>
        </w:tc>
        <w:tc>
          <w:tcPr>
            <w:tcW w:w="3820" w:type="dxa"/>
            <w:vAlign w:val="bottom"/>
            <w:gridSpan w:val="2"/>
          </w:tcPr>
          <w:p>
            <w:pPr>
              <w:ind w:left="120"/>
              <w:spacing w:after="0"/>
              <w:rPr>
                <w:sz w:val="20"/>
                <w:szCs w:val="20"/>
                <w:color w:val="auto"/>
              </w:rPr>
            </w:pPr>
            <w:r>
              <w:rPr>
                <w:rFonts w:ascii="Arial" w:cs="Arial" w:eastAsia="Arial" w:hAnsi="Arial"/>
                <w:sz w:val="15"/>
                <w:szCs w:val="15"/>
                <w:color w:val="auto"/>
              </w:rPr>
              <w:t>26, 1987</w:t>
            </w:r>
          </w:p>
        </w:tc>
        <w:tc>
          <w:tcPr>
            <w:tcW w:w="35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3.6</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5"/>
              </w:rPr>
              <w:t>Amended Certificate of Incorporation of the Company filed</w:t>
            </w:r>
          </w:p>
        </w:tc>
        <w:tc>
          <w:tcPr>
            <w:tcW w:w="4540" w:type="dxa"/>
            <w:vAlign w:val="bottom"/>
            <w:gridSpan w:val="2"/>
          </w:tcPr>
          <w:p>
            <w:pPr>
              <w:ind w:left="20"/>
              <w:spacing w:after="0"/>
              <w:rPr>
                <w:sz w:val="20"/>
                <w:szCs w:val="20"/>
                <w:color w:val="auto"/>
              </w:rPr>
            </w:pPr>
            <w:r>
              <w:rPr>
                <w:rFonts w:ascii="Arial" w:cs="Arial" w:eastAsia="Arial" w:hAnsi="Arial"/>
                <w:sz w:val="15"/>
                <w:szCs w:val="15"/>
                <w:color w:val="auto"/>
              </w:rPr>
              <w:t>with the Secretary of State of Delaware on November 2, 1989</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(9)</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3.7</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9"/>
              </w:rPr>
              <w:t>Copy of By-Laws of the Registrant, as amended to date</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(3)</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4.1</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Specimen of Common Stock certificate</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(1)</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10.1</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1"/>
              </w:rPr>
              <w:t>Registrant’s 1997 Independent Contractor Stock Option Plan</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9"/>
              </w:rPr>
              <w:t>(10)</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10.8</w:t>
            </w:r>
          </w:p>
        </w:tc>
        <w:tc>
          <w:tcPr>
            <w:tcW w:w="1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Employment agreement between Registrant and Harry Newman</w:t>
            </w: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(4)</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10.9</w:t>
            </w:r>
          </w:p>
        </w:tc>
        <w:tc>
          <w:tcPr>
            <w:tcW w:w="1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Employment agreement between Registrant and Marcus Hechler</w:t>
            </w: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(4)</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10.10</w:t>
            </w:r>
          </w:p>
        </w:tc>
        <w:tc>
          <w:tcPr>
            <w:tcW w:w="120" w:type="dxa"/>
            <w:vAlign w:val="bottom"/>
          </w:tcPr>
          <w:p>
            <w:pPr>
              <w:spacing w:after="0"/>
              <w:rPr>
                <w:sz w:val="24"/>
                <w:szCs w:val="24"/>
                <w:color w:val="auto"/>
              </w:rPr>
            </w:pPr>
          </w:p>
        </w:tc>
        <w:tc>
          <w:tcPr>
            <w:tcW w:w="7260" w:type="dxa"/>
            <w:vAlign w:val="bottom"/>
            <w:gridSpan w:val="2"/>
          </w:tcPr>
          <w:p>
            <w:pPr>
              <w:spacing w:after="0"/>
              <w:rPr>
                <w:sz w:val="20"/>
                <w:szCs w:val="20"/>
                <w:color w:val="auto"/>
              </w:rPr>
            </w:pPr>
            <w:r>
              <w:rPr>
                <w:rFonts w:ascii="Arial" w:cs="Arial" w:eastAsia="Arial" w:hAnsi="Arial"/>
                <w:sz w:val="15"/>
                <w:szCs w:val="15"/>
                <w:color w:val="auto"/>
              </w:rPr>
              <w:t>Employment agreement between Registrant and Charles Stone</w:t>
            </w: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(8)</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10.13</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89"/>
              </w:rPr>
              <w:t>Lease agreement between Registrant and Reckson Operating</w:t>
            </w:r>
          </w:p>
        </w:tc>
        <w:tc>
          <w:tcPr>
            <w:tcW w:w="3560" w:type="dxa"/>
            <w:vAlign w:val="bottom"/>
          </w:tcPr>
          <w:p>
            <w:pPr>
              <w:ind w:left="100"/>
              <w:spacing w:after="0"/>
              <w:rPr>
                <w:sz w:val="20"/>
                <w:szCs w:val="20"/>
                <w:color w:val="auto"/>
              </w:rPr>
            </w:pPr>
            <w:r>
              <w:rPr>
                <w:rFonts w:ascii="Arial" w:cs="Arial" w:eastAsia="Arial" w:hAnsi="Arial"/>
                <w:sz w:val="15"/>
                <w:szCs w:val="15"/>
                <w:color w:val="auto"/>
              </w:rPr>
              <w:t>Partnership, L.P. dated January 6, 1998</w:t>
            </w: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9"/>
              </w:rPr>
              <w:t>(11)</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10.16</w:t>
            </w:r>
          </w:p>
        </w:tc>
        <w:tc>
          <w:tcPr>
            <w:tcW w:w="120" w:type="dxa"/>
            <w:vAlign w:val="bottom"/>
          </w:tcPr>
          <w:p>
            <w:pPr>
              <w:spacing w:after="0"/>
              <w:rPr>
                <w:sz w:val="24"/>
                <w:szCs w:val="24"/>
                <w:color w:val="auto"/>
              </w:rPr>
            </w:pPr>
          </w:p>
        </w:tc>
        <w:tc>
          <w:tcPr>
            <w:tcW w:w="8240" w:type="dxa"/>
            <w:vAlign w:val="bottom"/>
            <w:gridSpan w:val="3"/>
          </w:tcPr>
          <w:p>
            <w:pPr>
              <w:spacing w:after="0"/>
              <w:rPr>
                <w:sz w:val="20"/>
                <w:szCs w:val="20"/>
                <w:color w:val="auto"/>
              </w:rPr>
            </w:pPr>
            <w:r>
              <w:rPr>
                <w:rFonts w:ascii="Arial" w:cs="Arial" w:eastAsia="Arial" w:hAnsi="Arial"/>
                <w:sz w:val="15"/>
                <w:szCs w:val="15"/>
                <w:color w:val="auto"/>
              </w:rPr>
              <w:t>Registrant’s Cash or Deferral Profit Sharing Plan and  Trust under Internal Revenue Code Section 401,  dated April 1, 1985</w:t>
            </w: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(6)</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10.21</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w w:val="97"/>
              </w:rPr>
              <w:t>Form of Agreement concerning Executive Compensation</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(2)</w:t>
            </w:r>
          </w:p>
        </w:tc>
      </w:tr>
      <w:tr>
        <w:trPr>
          <w:trHeight w:val="363"/>
        </w:trPr>
        <w:tc>
          <w:tcPr>
            <w:tcW w:w="1380" w:type="dxa"/>
            <w:vAlign w:val="bottom"/>
          </w:tcPr>
          <w:p>
            <w:pPr>
              <w:spacing w:after="0"/>
              <w:rPr>
                <w:sz w:val="20"/>
                <w:szCs w:val="20"/>
                <w:color w:val="auto"/>
              </w:rPr>
            </w:pPr>
            <w:r>
              <w:rPr>
                <w:rFonts w:ascii="Arial" w:cs="Arial" w:eastAsia="Arial" w:hAnsi="Arial"/>
                <w:sz w:val="15"/>
                <w:szCs w:val="15"/>
                <w:color w:val="auto"/>
              </w:rPr>
              <w:t>10.23</w:t>
            </w:r>
          </w:p>
        </w:tc>
        <w:tc>
          <w:tcPr>
            <w:tcW w:w="120" w:type="dxa"/>
            <w:vAlign w:val="bottom"/>
          </w:tcPr>
          <w:p>
            <w:pPr>
              <w:spacing w:after="0"/>
              <w:rPr>
                <w:sz w:val="24"/>
                <w:szCs w:val="24"/>
                <w:color w:val="auto"/>
              </w:rPr>
            </w:pPr>
          </w:p>
        </w:tc>
        <w:tc>
          <w:tcPr>
            <w:tcW w:w="3700" w:type="dxa"/>
            <w:vAlign w:val="bottom"/>
          </w:tcPr>
          <w:p>
            <w:pPr>
              <w:spacing w:after="0"/>
              <w:rPr>
                <w:sz w:val="20"/>
                <w:szCs w:val="20"/>
                <w:color w:val="auto"/>
              </w:rPr>
            </w:pPr>
            <w:r>
              <w:rPr>
                <w:rFonts w:ascii="Arial" w:cs="Arial" w:eastAsia="Arial" w:hAnsi="Arial"/>
                <w:sz w:val="15"/>
                <w:szCs w:val="15"/>
                <w:color w:val="auto"/>
              </w:rPr>
              <w:t>Registrant’s Senior Executive Stock Option Plan</w:t>
            </w:r>
          </w:p>
        </w:tc>
        <w:tc>
          <w:tcPr>
            <w:tcW w:w="3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00" w:type="dxa"/>
            <w:vAlign w:val="bottom"/>
            <w:gridSpan w:val="2"/>
          </w:tcPr>
          <w:p>
            <w:pPr>
              <w:jc w:val="center"/>
              <w:ind w:left="824"/>
              <w:spacing w:after="0"/>
              <w:rPr>
                <w:sz w:val="20"/>
                <w:szCs w:val="20"/>
                <w:color w:val="auto"/>
              </w:rPr>
            </w:pPr>
            <w:r>
              <w:rPr>
                <w:rFonts w:ascii="Arial" w:cs="Arial" w:eastAsia="Arial" w:hAnsi="Arial"/>
                <w:sz w:val="15"/>
                <w:szCs w:val="15"/>
                <w:color w:val="auto"/>
                <w:w w:val="87"/>
              </w:rPr>
              <w:t>(8)</w:t>
            </w:r>
          </w:p>
        </w:tc>
      </w:tr>
      <w:tr>
        <w:trPr>
          <w:trHeight w:val="510"/>
        </w:trPr>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560" w:type="dxa"/>
            <w:vAlign w:val="bottom"/>
          </w:tcPr>
          <w:p>
            <w:pPr>
              <w:ind w:left="440"/>
              <w:spacing w:after="0"/>
              <w:rPr>
                <w:sz w:val="20"/>
                <w:szCs w:val="20"/>
                <w:color w:val="auto"/>
              </w:rPr>
            </w:pPr>
            <w:r>
              <w:rPr>
                <w:rFonts w:ascii="Arial" w:cs="Arial" w:eastAsia="Arial" w:hAnsi="Arial"/>
                <w:sz w:val="15"/>
                <w:szCs w:val="15"/>
                <w:color w:val="auto"/>
              </w:rPr>
              <w:t>55</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99"/>
        </w:trPr>
        <w:tc>
          <w:tcPr>
            <w:tcW w:w="138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3700" w:type="dxa"/>
            <w:vAlign w:val="bottom"/>
            <w:tcBorders>
              <w:bottom w:val="single" w:sz="8" w:color="808080"/>
            </w:tcBorders>
          </w:tcPr>
          <w:p>
            <w:pPr>
              <w:spacing w:after="0"/>
              <w:rPr>
                <w:sz w:val="8"/>
                <w:szCs w:val="8"/>
                <w:color w:val="auto"/>
              </w:rPr>
            </w:pPr>
          </w:p>
        </w:tc>
        <w:tc>
          <w:tcPr>
            <w:tcW w:w="356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90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24" w:right="21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38"/>
        </w:trPr>
        <w:tc>
          <w:tcPr>
            <w:tcW w:w="1680" w:type="dxa"/>
            <w:vAlign w:val="bottom"/>
            <w:gridSpan w:val="2"/>
          </w:tcPr>
          <w:p>
            <w:pPr>
              <w:spacing w:after="0"/>
              <w:rPr>
                <w:rFonts w:ascii="Arial" w:cs="Arial" w:eastAsia="Arial" w:hAnsi="Arial"/>
                <w:sz w:val="12"/>
                <w:szCs w:val="12"/>
                <w:color w:val="0000EE"/>
              </w:rPr>
            </w:pPr>
            <w:hyperlink w:anchor="page2">
              <w:r>
                <w:rPr>
                  <w:rFonts w:ascii="Arial" w:cs="Arial" w:eastAsia="Arial" w:hAnsi="Arial"/>
                  <w:sz w:val="12"/>
                  <w:szCs w:val="12"/>
                  <w:color w:val="0000EE"/>
                </w:rPr>
                <w:t>Table of Contents</w:t>
              </w:r>
            </w:hyperlink>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2"/>
        </w:trPr>
        <w:tc>
          <w:tcPr>
            <w:tcW w:w="1680" w:type="dxa"/>
            <w:vAlign w:val="bottom"/>
            <w:gridSpan w:val="2"/>
          </w:tcPr>
          <w:p>
            <w:pPr>
              <w:spacing w:after="0"/>
              <w:rPr>
                <w:sz w:val="20"/>
                <w:szCs w:val="20"/>
                <w:color w:val="auto"/>
              </w:rPr>
            </w:pPr>
            <w:r>
              <w:rPr>
                <w:rFonts w:ascii="Arial" w:cs="Arial" w:eastAsia="Arial" w:hAnsi="Arial"/>
                <w:sz w:val="15"/>
                <w:szCs w:val="15"/>
                <w:b w:val="1"/>
                <w:bCs w:val="1"/>
                <w:color w:val="auto"/>
              </w:rPr>
              <w:t>Exhibit No. in</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9"/>
        </w:trPr>
        <w:tc>
          <w:tcPr>
            <w:tcW w:w="168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this Form 10-K</w:t>
            </w:r>
          </w:p>
        </w:tc>
        <w:tc>
          <w:tcPr>
            <w:tcW w:w="100" w:type="dxa"/>
            <w:vAlign w:val="bottom"/>
          </w:tcPr>
          <w:p>
            <w:pPr>
              <w:spacing w:after="0"/>
              <w:rPr>
                <w:sz w:val="17"/>
                <w:szCs w:val="17"/>
                <w:color w:val="auto"/>
              </w:rPr>
            </w:pPr>
          </w:p>
        </w:tc>
        <w:tc>
          <w:tcPr>
            <w:tcW w:w="3400" w:type="dxa"/>
            <w:vAlign w:val="bottom"/>
            <w:tcBorders>
              <w:bottom w:val="single" w:sz="8" w:color="auto"/>
            </w:tcBorders>
            <w:gridSpan w:val="4"/>
          </w:tcPr>
          <w:p>
            <w:pPr>
              <w:spacing w:after="0"/>
              <w:rPr>
                <w:sz w:val="20"/>
                <w:szCs w:val="20"/>
                <w:color w:val="auto"/>
              </w:rPr>
            </w:pPr>
            <w:r>
              <w:rPr>
                <w:rFonts w:ascii="Arial" w:cs="Arial" w:eastAsia="Arial" w:hAnsi="Arial"/>
                <w:sz w:val="15"/>
                <w:szCs w:val="15"/>
                <w:b w:val="1"/>
                <w:bCs w:val="1"/>
                <w:color w:val="auto"/>
              </w:rPr>
              <w:t>Description of Exhibit</w:t>
            </w:r>
          </w:p>
        </w:tc>
        <w:tc>
          <w:tcPr>
            <w:tcW w:w="580" w:type="dxa"/>
            <w:vAlign w:val="bottom"/>
            <w:tcBorders>
              <w:bottom w:val="single" w:sz="8" w:color="auto"/>
            </w:tcBorders>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NOTE</w:t>
            </w:r>
          </w:p>
        </w:tc>
      </w:tr>
      <w:tr>
        <w:trPr>
          <w:trHeight w:val="352"/>
        </w:trPr>
        <w:tc>
          <w:tcPr>
            <w:tcW w:w="840" w:type="dxa"/>
            <w:vAlign w:val="bottom"/>
          </w:tcPr>
          <w:p>
            <w:pPr>
              <w:spacing w:after="0"/>
              <w:rPr>
                <w:sz w:val="20"/>
                <w:szCs w:val="20"/>
                <w:color w:val="auto"/>
              </w:rPr>
            </w:pPr>
            <w:r>
              <w:rPr>
                <w:rFonts w:ascii="Arial" w:cs="Arial" w:eastAsia="Arial" w:hAnsi="Arial"/>
                <w:sz w:val="15"/>
                <w:szCs w:val="15"/>
                <w:color w:val="auto"/>
              </w:rPr>
              <w:t>10.24</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Amendment dated Jan. 1, 1988 to Registrant’s Cash or  Deferred Profit Sharing Plan and Trust under Section 401  of</w:t>
            </w:r>
          </w:p>
        </w:tc>
        <w:tc>
          <w:tcPr>
            <w:tcW w:w="1680" w:type="dxa"/>
            <w:vAlign w:val="bottom"/>
            <w:gridSpan w:val="2"/>
          </w:tcPr>
          <w:p>
            <w:pPr>
              <w:jc w:val="center"/>
              <w:ind w:left="804"/>
              <w:spacing w:after="0"/>
              <w:rPr>
                <w:sz w:val="20"/>
                <w:szCs w:val="20"/>
                <w:color w:val="auto"/>
              </w:rPr>
            </w:pPr>
            <w:r>
              <w:rPr>
                <w:rFonts w:ascii="Arial" w:cs="Arial" w:eastAsia="Arial" w:hAnsi="Arial"/>
                <w:sz w:val="15"/>
                <w:szCs w:val="15"/>
                <w:color w:val="auto"/>
                <w:w w:val="87"/>
              </w:rPr>
              <w:t>(8)</w:t>
            </w:r>
          </w:p>
        </w:tc>
      </w:tr>
      <w:tr>
        <w:trPr>
          <w:trHeight w:val="191"/>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4"/>
          </w:tcPr>
          <w:p>
            <w:pPr>
              <w:spacing w:after="0"/>
              <w:rPr>
                <w:sz w:val="20"/>
                <w:szCs w:val="20"/>
                <w:color w:val="auto"/>
              </w:rPr>
            </w:pPr>
            <w:r>
              <w:rPr>
                <w:rFonts w:ascii="Arial" w:cs="Arial" w:eastAsia="Arial" w:hAnsi="Arial"/>
                <w:sz w:val="15"/>
                <w:szCs w:val="15"/>
                <w:color w:val="auto"/>
              </w:rPr>
              <w:t>Internal Revenue Code</w:t>
            </w: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63"/>
        </w:trPr>
        <w:tc>
          <w:tcPr>
            <w:tcW w:w="840" w:type="dxa"/>
            <w:vAlign w:val="bottom"/>
          </w:tcPr>
          <w:p>
            <w:pPr>
              <w:spacing w:after="0"/>
              <w:rPr>
                <w:sz w:val="20"/>
                <w:szCs w:val="20"/>
                <w:color w:val="auto"/>
              </w:rPr>
            </w:pPr>
            <w:r>
              <w:rPr>
                <w:rFonts w:ascii="Arial" w:cs="Arial" w:eastAsia="Arial" w:hAnsi="Arial"/>
                <w:sz w:val="15"/>
                <w:szCs w:val="15"/>
                <w:color w:val="auto"/>
              </w:rPr>
              <w:t>10.25</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Executive Incentive Compensation Plan between Registrant and various employees</w:t>
            </w:r>
          </w:p>
        </w:tc>
        <w:tc>
          <w:tcPr>
            <w:tcW w:w="1680" w:type="dxa"/>
            <w:vAlign w:val="bottom"/>
            <w:gridSpan w:val="2"/>
          </w:tcPr>
          <w:p>
            <w:pPr>
              <w:jc w:val="center"/>
              <w:ind w:left="804"/>
              <w:spacing w:after="0"/>
              <w:rPr>
                <w:sz w:val="20"/>
                <w:szCs w:val="20"/>
                <w:color w:val="auto"/>
              </w:rPr>
            </w:pPr>
            <w:r>
              <w:rPr>
                <w:rFonts w:ascii="Arial" w:cs="Arial" w:eastAsia="Arial" w:hAnsi="Arial"/>
                <w:sz w:val="15"/>
                <w:szCs w:val="15"/>
                <w:color w:val="auto"/>
                <w:w w:val="87"/>
              </w:rPr>
              <w:t>(8)</w:t>
            </w:r>
          </w:p>
        </w:tc>
      </w:tr>
      <w:tr>
        <w:trPr>
          <w:trHeight w:val="330"/>
        </w:trPr>
        <w:tc>
          <w:tcPr>
            <w:tcW w:w="840" w:type="dxa"/>
            <w:vAlign w:val="bottom"/>
          </w:tcPr>
          <w:p>
            <w:pPr>
              <w:spacing w:after="0"/>
              <w:rPr>
                <w:sz w:val="20"/>
                <w:szCs w:val="20"/>
                <w:color w:val="auto"/>
              </w:rPr>
            </w:pPr>
            <w:r>
              <w:rPr>
                <w:rFonts w:ascii="Arial" w:cs="Arial" w:eastAsia="Arial" w:hAnsi="Arial"/>
                <w:sz w:val="15"/>
                <w:szCs w:val="15"/>
                <w:color w:val="auto"/>
              </w:rPr>
              <w:t>21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5"/>
                <w:szCs w:val="15"/>
                <w:color w:val="0000EE"/>
              </w:rPr>
              <w:t>List of Subsidiaries of Registrant</w:t>
            </w: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Filed</w:t>
            </w:r>
          </w:p>
        </w:tc>
      </w:tr>
      <w:tr>
        <w:trPr>
          <w:trHeight w:val="194"/>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herewith</w:t>
            </w:r>
          </w:p>
        </w:tc>
      </w:tr>
      <w:tr>
        <w:trPr>
          <w:trHeight w:val="330"/>
        </w:trPr>
        <w:tc>
          <w:tcPr>
            <w:tcW w:w="840" w:type="dxa"/>
            <w:vAlign w:val="bottom"/>
          </w:tcPr>
          <w:p>
            <w:pPr>
              <w:spacing w:after="0"/>
              <w:rPr>
                <w:sz w:val="20"/>
                <w:szCs w:val="20"/>
                <w:color w:val="auto"/>
              </w:rPr>
            </w:pPr>
            <w:r>
              <w:rPr>
                <w:rFonts w:ascii="Arial" w:cs="Arial" w:eastAsia="Arial" w:hAnsi="Arial"/>
                <w:sz w:val="15"/>
                <w:szCs w:val="15"/>
                <w:color w:val="auto"/>
              </w:rPr>
              <w:t>23.1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5"/>
                <w:szCs w:val="15"/>
                <w:color w:val="0000EE"/>
              </w:rPr>
              <w:t>Consent of Independent Registered Public Accounting Firm</w:t>
            </w:r>
          </w:p>
        </w:tc>
        <w:tc>
          <w:tcPr>
            <w:tcW w:w="4000" w:type="dxa"/>
            <w:vAlign w:val="bottom"/>
            <w:gridSpan w:val="5"/>
          </w:tcPr>
          <w:p>
            <w:pPr>
              <w:spacing w:after="0"/>
              <w:rPr>
                <w:sz w:val="20"/>
                <w:szCs w:val="20"/>
                <w:color w:val="auto"/>
              </w:rPr>
            </w:pPr>
            <w:r>
              <w:rPr>
                <w:rFonts w:ascii="Arial" w:cs="Arial" w:eastAsia="Arial" w:hAnsi="Arial"/>
                <w:sz w:val="15"/>
                <w:szCs w:val="15"/>
                <w:color w:val="0000EE"/>
              </w:rPr>
              <w:t>to incorporation by reference of its 2014 audit report in</w:t>
            </w:r>
          </w:p>
        </w:tc>
        <w:tc>
          <w:tcPr>
            <w:tcW w:w="8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Filed</w:t>
            </w:r>
          </w:p>
        </w:tc>
      </w:tr>
      <w:tr>
        <w:trPr>
          <w:trHeight w:val="162"/>
        </w:trPr>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60" w:type="dxa"/>
            <w:vAlign w:val="bottom"/>
            <w:tcBorders>
              <w:top w:val="single" w:sz="8" w:color="0000EE"/>
              <w:bottom w:val="single" w:sz="8" w:color="0000EE"/>
            </w:tcBorders>
            <w:gridSpan w:val="3"/>
          </w:tcPr>
          <w:p>
            <w:pPr>
              <w:spacing w:after="0" w:line="161" w:lineRule="exact"/>
              <w:rPr>
                <w:sz w:val="20"/>
                <w:szCs w:val="20"/>
                <w:color w:val="auto"/>
              </w:rPr>
            </w:pPr>
            <w:r>
              <w:rPr>
                <w:rFonts w:ascii="Arial" w:cs="Arial" w:eastAsia="Arial" w:hAnsi="Arial"/>
                <w:sz w:val="15"/>
                <w:szCs w:val="15"/>
                <w:color w:val="0000EE"/>
                <w:w w:val="90"/>
              </w:rPr>
              <w:t>Registrant’s Form S-8 Registration Statements.</w:t>
            </w:r>
          </w:p>
        </w:tc>
        <w:tc>
          <w:tcPr>
            <w:tcW w:w="540" w:type="dxa"/>
            <w:vAlign w:val="bottom"/>
            <w:tcBorders>
              <w:top w:val="single" w:sz="8" w:color="0000EE"/>
            </w:tcBorders>
          </w:tcPr>
          <w:p>
            <w:pPr>
              <w:spacing w:after="0"/>
              <w:rPr>
                <w:sz w:val="14"/>
                <w:szCs w:val="14"/>
                <w:color w:val="auto"/>
              </w:rPr>
            </w:pPr>
          </w:p>
        </w:tc>
        <w:tc>
          <w:tcPr>
            <w:tcW w:w="580" w:type="dxa"/>
            <w:vAlign w:val="bottom"/>
            <w:tcBorders>
              <w:top w:val="single" w:sz="8" w:color="0000EE"/>
            </w:tcBorders>
          </w:tcPr>
          <w:p>
            <w:pPr>
              <w:spacing w:after="0"/>
              <w:rPr>
                <w:sz w:val="14"/>
                <w:szCs w:val="14"/>
                <w:color w:val="auto"/>
              </w:rPr>
            </w:pPr>
          </w:p>
        </w:tc>
        <w:tc>
          <w:tcPr>
            <w:tcW w:w="2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0" w:type="dxa"/>
            <w:vAlign w:val="bottom"/>
            <w:tcBorders>
              <w:top w:val="single" w:sz="8" w:color="0000EE"/>
            </w:tcBorders>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color w:val="auto"/>
                <w:w w:val="91"/>
              </w:rPr>
              <w:t>herewith</w:t>
            </w:r>
          </w:p>
        </w:tc>
      </w:tr>
      <w:tr>
        <w:trPr>
          <w:trHeight w:val="343"/>
        </w:trPr>
        <w:tc>
          <w:tcPr>
            <w:tcW w:w="840" w:type="dxa"/>
            <w:vAlign w:val="bottom"/>
          </w:tcPr>
          <w:p>
            <w:pPr>
              <w:spacing w:after="0"/>
              <w:rPr>
                <w:sz w:val="20"/>
                <w:szCs w:val="20"/>
                <w:color w:val="auto"/>
              </w:rPr>
            </w:pPr>
            <w:r>
              <w:rPr>
                <w:rFonts w:ascii="Arial" w:cs="Arial" w:eastAsia="Arial" w:hAnsi="Arial"/>
                <w:sz w:val="15"/>
                <w:szCs w:val="15"/>
                <w:color w:val="auto"/>
              </w:rPr>
              <w:t>31.1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5"/>
                <w:szCs w:val="15"/>
                <w:color w:val="0000EE"/>
                <w:w w:val="94"/>
              </w:rPr>
              <w:t>Certification of the Chief Executive Officer pursuant to</w:t>
            </w:r>
          </w:p>
        </w:tc>
        <w:tc>
          <w:tcPr>
            <w:tcW w:w="4580" w:type="dxa"/>
            <w:vAlign w:val="bottom"/>
            <w:gridSpan w:val="6"/>
          </w:tcPr>
          <w:p>
            <w:pPr>
              <w:ind w:left="60"/>
              <w:spacing w:after="0"/>
              <w:rPr>
                <w:sz w:val="20"/>
                <w:szCs w:val="20"/>
                <w:color w:val="auto"/>
              </w:rPr>
            </w:pPr>
            <w:r>
              <w:rPr>
                <w:rFonts w:ascii="Arial" w:cs="Arial" w:eastAsia="Arial" w:hAnsi="Arial"/>
                <w:sz w:val="15"/>
                <w:szCs w:val="15"/>
                <w:color w:val="0000EE"/>
              </w:rPr>
              <w:t>Section 302 of the Sarbanes-Oxley Act of 2002</w:t>
            </w:r>
          </w:p>
        </w:tc>
        <w:tc>
          <w:tcPr>
            <w:tcW w:w="8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Filed</w:t>
            </w:r>
          </w:p>
        </w:tc>
      </w:tr>
      <w:tr>
        <w:trPr>
          <w:trHeight w:val="194"/>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herewith</w:t>
            </w:r>
          </w:p>
        </w:tc>
      </w:tr>
      <w:tr>
        <w:trPr>
          <w:trHeight w:val="330"/>
        </w:trPr>
        <w:tc>
          <w:tcPr>
            <w:tcW w:w="840" w:type="dxa"/>
            <w:vAlign w:val="bottom"/>
          </w:tcPr>
          <w:p>
            <w:pPr>
              <w:spacing w:after="0"/>
              <w:rPr>
                <w:sz w:val="20"/>
                <w:szCs w:val="20"/>
                <w:color w:val="auto"/>
              </w:rPr>
            </w:pPr>
            <w:r>
              <w:rPr>
                <w:rFonts w:ascii="Arial" w:cs="Arial" w:eastAsia="Arial" w:hAnsi="Arial"/>
                <w:sz w:val="15"/>
                <w:szCs w:val="15"/>
                <w:color w:val="auto"/>
              </w:rPr>
              <w:t>31.2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0" w:type="dxa"/>
            <w:vAlign w:val="bottom"/>
            <w:gridSpan w:val="4"/>
          </w:tcPr>
          <w:p>
            <w:pPr>
              <w:spacing w:after="0"/>
              <w:rPr>
                <w:sz w:val="20"/>
                <w:szCs w:val="20"/>
                <w:color w:val="auto"/>
              </w:rPr>
            </w:pPr>
            <w:r>
              <w:rPr>
                <w:rFonts w:ascii="Arial" w:cs="Arial" w:eastAsia="Arial" w:hAnsi="Arial"/>
                <w:sz w:val="15"/>
                <w:szCs w:val="15"/>
                <w:color w:val="0000EE"/>
                <w:w w:val="96"/>
              </w:rPr>
              <w:t>Certification of the Chief Financial Officer pursuant to</w:t>
            </w:r>
          </w:p>
        </w:tc>
        <w:tc>
          <w:tcPr>
            <w:tcW w:w="4580" w:type="dxa"/>
            <w:vAlign w:val="bottom"/>
            <w:gridSpan w:val="6"/>
          </w:tcPr>
          <w:p>
            <w:pPr>
              <w:ind w:left="20"/>
              <w:spacing w:after="0"/>
              <w:rPr>
                <w:sz w:val="20"/>
                <w:szCs w:val="20"/>
                <w:color w:val="auto"/>
              </w:rPr>
            </w:pPr>
            <w:r>
              <w:rPr>
                <w:rFonts w:ascii="Arial" w:cs="Arial" w:eastAsia="Arial" w:hAnsi="Arial"/>
                <w:sz w:val="15"/>
                <w:szCs w:val="15"/>
                <w:color w:val="0000EE"/>
              </w:rPr>
              <w:t>Section 302 of the Sarbanes-Oxley Act of 2002</w:t>
            </w:r>
          </w:p>
        </w:tc>
        <w:tc>
          <w:tcPr>
            <w:tcW w:w="8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Filed</w:t>
            </w:r>
          </w:p>
        </w:tc>
      </w:tr>
      <w:tr>
        <w:trPr>
          <w:trHeight w:val="194"/>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540" w:type="dxa"/>
            <w:vAlign w:val="bottom"/>
            <w:tcBorders>
              <w:top w:val="single" w:sz="8" w:color="0000EE"/>
            </w:tcBorders>
          </w:tcPr>
          <w:p>
            <w:pPr>
              <w:spacing w:after="0"/>
              <w:rPr>
                <w:sz w:val="16"/>
                <w:szCs w:val="16"/>
                <w:color w:val="auto"/>
              </w:rPr>
            </w:pPr>
          </w:p>
        </w:tc>
        <w:tc>
          <w:tcPr>
            <w:tcW w:w="860" w:type="dxa"/>
            <w:vAlign w:val="bottom"/>
            <w:tcBorders>
              <w:top w:val="single" w:sz="8" w:color="0000EE"/>
            </w:tcBorders>
          </w:tcPr>
          <w:p>
            <w:pPr>
              <w:spacing w:after="0"/>
              <w:rPr>
                <w:sz w:val="16"/>
                <w:szCs w:val="16"/>
                <w:color w:val="auto"/>
              </w:rPr>
            </w:pPr>
          </w:p>
        </w:tc>
        <w:tc>
          <w:tcPr>
            <w:tcW w:w="54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32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1"/>
              </w:rPr>
              <w:t>herewith</w:t>
            </w:r>
          </w:p>
        </w:tc>
      </w:tr>
      <w:tr>
        <w:trPr>
          <w:trHeight w:val="330"/>
        </w:trPr>
        <w:tc>
          <w:tcPr>
            <w:tcW w:w="840" w:type="dxa"/>
            <w:vAlign w:val="bottom"/>
          </w:tcPr>
          <w:p>
            <w:pPr>
              <w:spacing w:after="0"/>
              <w:rPr>
                <w:sz w:val="20"/>
                <w:szCs w:val="20"/>
                <w:color w:val="auto"/>
              </w:rPr>
            </w:pPr>
            <w:r>
              <w:rPr>
                <w:rFonts w:ascii="Arial" w:cs="Arial" w:eastAsia="Arial" w:hAnsi="Arial"/>
                <w:sz w:val="15"/>
                <w:szCs w:val="15"/>
                <w:color w:val="auto"/>
              </w:rPr>
              <w:t>32</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Arial" w:cs="Arial" w:eastAsia="Arial" w:hAnsi="Arial"/>
                <w:sz w:val="15"/>
                <w:szCs w:val="15"/>
                <w:color w:val="0000EE"/>
                <w:w w:val="94"/>
              </w:rPr>
              <w:t>Certifications of the Chief Executive Officer and Chief Financial</w:t>
            </w:r>
          </w:p>
        </w:tc>
        <w:tc>
          <w:tcPr>
            <w:tcW w:w="4000" w:type="dxa"/>
            <w:vAlign w:val="bottom"/>
            <w:gridSpan w:val="5"/>
          </w:tcPr>
          <w:p>
            <w:pPr>
              <w:ind w:left="120"/>
              <w:spacing w:after="0"/>
              <w:rPr>
                <w:sz w:val="20"/>
                <w:szCs w:val="20"/>
                <w:color w:val="auto"/>
              </w:rPr>
            </w:pPr>
            <w:r>
              <w:rPr>
                <w:rFonts w:ascii="Arial" w:cs="Arial" w:eastAsia="Arial" w:hAnsi="Arial"/>
                <w:sz w:val="15"/>
                <w:szCs w:val="15"/>
                <w:color w:val="0000EE"/>
                <w:w w:val="99"/>
              </w:rPr>
              <w:t>Officer pursuant to Section 906 of the Sarbanes-Oxley Act</w:t>
            </w:r>
          </w:p>
        </w:tc>
        <w:tc>
          <w:tcPr>
            <w:tcW w:w="88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5"/>
                <w:szCs w:val="15"/>
                <w:color w:val="auto"/>
                <w:w w:val="98"/>
              </w:rPr>
              <w:t>Filed</w:t>
            </w:r>
          </w:p>
        </w:tc>
      </w:tr>
      <w:tr>
        <w:trPr>
          <w:trHeight w:val="162"/>
        </w:trPr>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0" w:type="dxa"/>
            <w:vAlign w:val="bottom"/>
            <w:tcBorders>
              <w:top w:val="single" w:sz="8" w:color="0000EE"/>
            </w:tcBorders>
            <w:gridSpan w:val="4"/>
          </w:tcPr>
          <w:p>
            <w:pPr>
              <w:spacing w:after="0" w:line="161" w:lineRule="exact"/>
              <w:rPr>
                <w:sz w:val="20"/>
                <w:szCs w:val="20"/>
                <w:color w:val="auto"/>
              </w:rPr>
            </w:pPr>
            <w:r>
              <w:rPr>
                <w:rFonts w:ascii="Arial" w:cs="Arial" w:eastAsia="Arial" w:hAnsi="Arial"/>
                <w:sz w:val="15"/>
                <w:szCs w:val="15"/>
                <w:color w:val="0000EE"/>
              </w:rPr>
              <w:t>of 2002</w:t>
            </w:r>
          </w:p>
        </w:tc>
        <w:tc>
          <w:tcPr>
            <w:tcW w:w="580" w:type="dxa"/>
            <w:vAlign w:val="bottom"/>
            <w:tcBorders>
              <w:top w:val="single" w:sz="8" w:color="0000EE"/>
            </w:tcBorders>
          </w:tcPr>
          <w:p>
            <w:pPr>
              <w:spacing w:after="0"/>
              <w:rPr>
                <w:sz w:val="14"/>
                <w:szCs w:val="14"/>
                <w:color w:val="auto"/>
              </w:rPr>
            </w:pPr>
          </w:p>
        </w:tc>
        <w:tc>
          <w:tcPr>
            <w:tcW w:w="2320" w:type="dxa"/>
            <w:vAlign w:val="bottom"/>
            <w:tcBorders>
              <w:top w:val="single" w:sz="8" w:color="0000EE"/>
            </w:tcBorders>
          </w:tcPr>
          <w:p>
            <w:pPr>
              <w:spacing w:after="0"/>
              <w:rPr>
                <w:sz w:val="14"/>
                <w:szCs w:val="14"/>
                <w:color w:val="auto"/>
              </w:rPr>
            </w:pPr>
          </w:p>
        </w:tc>
        <w:tc>
          <w:tcPr>
            <w:tcW w:w="40" w:type="dxa"/>
            <w:vAlign w:val="bottom"/>
            <w:tcBorders>
              <w:top w:val="single" w:sz="8" w:color="0000EE"/>
            </w:tcBorders>
          </w:tcPr>
          <w:p>
            <w:pPr>
              <w:spacing w:after="0"/>
              <w:rPr>
                <w:sz w:val="14"/>
                <w:szCs w:val="14"/>
                <w:color w:val="auto"/>
              </w:rPr>
            </w:pPr>
          </w:p>
        </w:tc>
        <w:tc>
          <w:tcPr>
            <w:tcW w:w="1200" w:type="dxa"/>
            <w:vAlign w:val="bottom"/>
            <w:tcBorders>
              <w:top w:val="single" w:sz="8" w:color="0000EE"/>
            </w:tcBorders>
          </w:tcPr>
          <w:p>
            <w:pPr>
              <w:spacing w:after="0"/>
              <w:rPr>
                <w:sz w:val="14"/>
                <w:szCs w:val="14"/>
                <w:color w:val="auto"/>
              </w:rPr>
            </w:pPr>
          </w:p>
        </w:tc>
        <w:tc>
          <w:tcPr>
            <w:tcW w:w="140" w:type="dxa"/>
            <w:vAlign w:val="bottom"/>
            <w:tcBorders>
              <w:top w:val="single" w:sz="8" w:color="0000EE"/>
            </w:tcBorders>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0" w:type="dxa"/>
            <w:vAlign w:val="bottom"/>
          </w:tcPr>
          <w:p>
            <w:pPr>
              <w:jc w:val="center"/>
              <w:spacing w:after="0" w:line="161" w:lineRule="exact"/>
              <w:rPr>
                <w:sz w:val="20"/>
                <w:szCs w:val="20"/>
                <w:color w:val="auto"/>
              </w:rPr>
            </w:pPr>
            <w:r>
              <w:rPr>
                <w:rFonts w:ascii="Arial" w:cs="Arial" w:eastAsia="Arial" w:hAnsi="Arial"/>
                <w:sz w:val="15"/>
                <w:szCs w:val="15"/>
                <w:color w:val="auto"/>
                <w:w w:val="91"/>
              </w:rPr>
              <w:t>herewith</w:t>
            </w:r>
          </w:p>
        </w:tc>
      </w:tr>
      <w:tr>
        <w:trPr>
          <w:trHeight w:val="20"/>
        </w:trPr>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520" w:type="dxa"/>
            <w:vAlign w:val="bottom"/>
            <w:gridSpan w:val="9"/>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66"/>
        </w:trPr>
        <w:tc>
          <w:tcPr>
            <w:tcW w:w="840" w:type="dxa"/>
            <w:vAlign w:val="bottom"/>
          </w:tcPr>
          <w:p>
            <w:pPr>
              <w:spacing w:after="0"/>
              <w:rPr>
                <w:sz w:val="20"/>
                <w:szCs w:val="20"/>
                <w:color w:val="auto"/>
              </w:rPr>
            </w:pPr>
            <w:r>
              <w:rPr>
                <w:rFonts w:ascii="Arial" w:cs="Arial" w:eastAsia="Arial" w:hAnsi="Arial"/>
                <w:sz w:val="15"/>
                <w:szCs w:val="15"/>
                <w:color w:val="auto"/>
              </w:rPr>
              <w:t>101</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The following materials from the Frequency Electronics, Inc. Annual Report on Form 10-K for the fiscal</w:t>
            </w: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year ended April 30, 2014 formatted in eXtensible Business Reporting Language (XBRL): (i) Consolidated</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Balance Sheets, (ii) Consolidated Statements of Income and Comprehensive Income, (iii) Consolidated</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Statements of Cash Flows, (iv) Consolidated Statement of Changes in Stockholders’ Equity and (v) Notes</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0" w:type="dxa"/>
            <w:vAlign w:val="bottom"/>
            <w:gridSpan w:val="4"/>
          </w:tcPr>
          <w:p>
            <w:pPr>
              <w:spacing w:after="0"/>
              <w:rPr>
                <w:sz w:val="20"/>
                <w:szCs w:val="20"/>
                <w:color w:val="auto"/>
              </w:rPr>
            </w:pPr>
            <w:r>
              <w:rPr>
                <w:rFonts w:ascii="Arial" w:cs="Arial" w:eastAsia="Arial" w:hAnsi="Arial"/>
                <w:sz w:val="15"/>
                <w:szCs w:val="15"/>
                <w:color w:val="auto"/>
              </w:rPr>
              <w:t>to Consolidated Financial Statements</w:t>
            </w:r>
          </w:p>
        </w:tc>
        <w:tc>
          <w:tcPr>
            <w:tcW w:w="5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54"/>
        </w:trPr>
        <w:tc>
          <w:tcPr>
            <w:tcW w:w="1680" w:type="dxa"/>
            <w:vAlign w:val="bottom"/>
            <w:gridSpan w:val="2"/>
          </w:tcPr>
          <w:p>
            <w:pPr>
              <w:spacing w:after="0"/>
              <w:rPr>
                <w:sz w:val="20"/>
                <w:szCs w:val="20"/>
                <w:color w:val="auto"/>
              </w:rPr>
            </w:pPr>
            <w:r>
              <w:rPr>
                <w:rFonts w:ascii="Arial" w:cs="Arial" w:eastAsia="Arial" w:hAnsi="Arial"/>
                <w:sz w:val="15"/>
                <w:szCs w:val="15"/>
                <w:color w:val="auto"/>
              </w:rPr>
              <w:t>NOTES:</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registration statement of Registrant on Form S-1, File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spacing w:after="0"/>
              <w:rPr>
                <w:sz w:val="20"/>
                <w:szCs w:val="20"/>
                <w:color w:val="auto"/>
              </w:rPr>
            </w:pPr>
            <w:r>
              <w:rPr>
                <w:rFonts w:ascii="Arial" w:cs="Arial" w:eastAsia="Arial" w:hAnsi="Arial"/>
                <w:sz w:val="15"/>
                <w:szCs w:val="15"/>
                <w:color w:val="auto"/>
                <w:w w:val="94"/>
              </w:rPr>
              <w:t>No. 2-29609, which exhibit is incorporated herein by reference.</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registration statement of Registrant on Form S-1, File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spacing w:after="0"/>
              <w:rPr>
                <w:sz w:val="20"/>
                <w:szCs w:val="20"/>
                <w:color w:val="auto"/>
              </w:rPr>
            </w:pPr>
            <w:r>
              <w:rPr>
                <w:rFonts w:ascii="Arial" w:cs="Arial" w:eastAsia="Arial" w:hAnsi="Arial"/>
                <w:sz w:val="15"/>
                <w:szCs w:val="15"/>
                <w:color w:val="auto"/>
                <w:w w:val="94"/>
              </w:rPr>
              <w:t>No. 2-71727, which exhibit is incorporated herein by reference.</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(3)</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1981,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(4)</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registration statement of Registrant on Form S-1, File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980" w:type="dxa"/>
            <w:vAlign w:val="bottom"/>
            <w:gridSpan w:val="5"/>
          </w:tcPr>
          <w:p>
            <w:pPr>
              <w:spacing w:after="0"/>
              <w:rPr>
                <w:sz w:val="20"/>
                <w:szCs w:val="20"/>
                <w:color w:val="auto"/>
              </w:rPr>
            </w:pPr>
            <w:r>
              <w:rPr>
                <w:rFonts w:ascii="Arial" w:cs="Arial" w:eastAsia="Arial" w:hAnsi="Arial"/>
                <w:sz w:val="15"/>
                <w:szCs w:val="15"/>
                <w:color w:val="auto"/>
                <w:w w:val="94"/>
              </w:rPr>
              <w:t>No. 2-69527, which exhibit is incorporated herein by reference.</w:t>
            </w:r>
          </w:p>
        </w:tc>
        <w:tc>
          <w:tcPr>
            <w:tcW w:w="2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(5)</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1985,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(6)</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9"/>
              </w:rPr>
              <w:t>Filed with the SEC as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1986,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(7)</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1987,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(8)</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1989,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(9)</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1990,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(10)</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registration statement of Registrant on Form S-8, File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No. 333-42233,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(11)</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7"/>
              </w:rPr>
              <w:t>Filed with the SEC as an exhibit, numbered as indicated above, to the annual report of Registrant on Form 10-K,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for the year ended April 30, 1998, which exhibit is incorporated herein by reference.</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2"/>
        </w:trPr>
        <w:tc>
          <w:tcPr>
            <w:tcW w:w="840" w:type="dxa"/>
            <w:vAlign w:val="bottom"/>
          </w:tcPr>
          <w:p>
            <w:pPr>
              <w:spacing w:after="0"/>
              <w:rPr>
                <w:sz w:val="20"/>
                <w:szCs w:val="20"/>
                <w:color w:val="auto"/>
              </w:rPr>
            </w:pPr>
            <w:r>
              <w:rPr>
                <w:rFonts w:ascii="Arial" w:cs="Arial" w:eastAsia="Arial" w:hAnsi="Arial"/>
                <w:sz w:val="15"/>
                <w:szCs w:val="15"/>
                <w:color w:val="auto"/>
              </w:rPr>
              <w:t>(12)</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w w:val="98"/>
              </w:rPr>
              <w:t>Filed with the SEC as an exhibit, numbered as indicated above, to the current report of Registrant on Form 8-K, File No. 1-</w:t>
            </w:r>
          </w:p>
        </w:tc>
        <w:tc>
          <w:tcPr>
            <w:tcW w:w="88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91"/>
        </w:trPr>
        <w:tc>
          <w:tcPr>
            <w:tcW w:w="8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980" w:type="dxa"/>
            <w:vAlign w:val="bottom"/>
            <w:gridSpan w:val="10"/>
          </w:tcPr>
          <w:p>
            <w:pPr>
              <w:spacing w:after="0"/>
              <w:rPr>
                <w:sz w:val="20"/>
                <w:szCs w:val="20"/>
                <w:color w:val="auto"/>
              </w:rPr>
            </w:pPr>
            <w:r>
              <w:rPr>
                <w:rFonts w:ascii="Arial" w:cs="Arial" w:eastAsia="Arial" w:hAnsi="Arial"/>
                <w:sz w:val="15"/>
                <w:szCs w:val="15"/>
                <w:color w:val="auto"/>
              </w:rPr>
              <w:t>8061, on February 27, 2012, which exhibit is incorporated herein by reference.</w:t>
            </w:r>
          </w:p>
        </w:tc>
        <w:tc>
          <w:tcPr>
            <w:tcW w:w="88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715"/>
        </w:trPr>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00" w:type="dxa"/>
            <w:vAlign w:val="bottom"/>
            <w:gridSpan w:val="2"/>
          </w:tcPr>
          <w:p>
            <w:pPr>
              <w:jc w:val="right"/>
              <w:ind w:right="2224"/>
              <w:spacing w:after="0"/>
              <w:rPr>
                <w:sz w:val="20"/>
                <w:szCs w:val="20"/>
                <w:color w:val="auto"/>
              </w:rPr>
            </w:pPr>
            <w:r>
              <w:rPr>
                <w:rFonts w:ascii="Arial" w:cs="Arial" w:eastAsia="Arial" w:hAnsi="Arial"/>
                <w:sz w:val="15"/>
                <w:szCs w:val="15"/>
                <w:color w:val="auto"/>
              </w:rPr>
              <w:t>56</w:t>
            </w:r>
          </w:p>
        </w:tc>
        <w:tc>
          <w:tcPr>
            <w:tcW w:w="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99"/>
        </w:trPr>
        <w:tc>
          <w:tcPr>
            <w:tcW w:w="840" w:type="dxa"/>
            <w:vAlign w:val="bottom"/>
            <w:tcBorders>
              <w:bottom w:val="single" w:sz="8" w:color="808080"/>
            </w:tcBorders>
          </w:tcPr>
          <w:p>
            <w:pPr>
              <w:spacing w:after="0"/>
              <w:rPr>
                <w:sz w:val="8"/>
                <w:szCs w:val="8"/>
                <w:color w:val="auto"/>
              </w:rPr>
            </w:pPr>
          </w:p>
        </w:tc>
        <w:tc>
          <w:tcPr>
            <w:tcW w:w="8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540" w:type="dxa"/>
            <w:vAlign w:val="bottom"/>
            <w:tcBorders>
              <w:bottom w:val="single" w:sz="8" w:color="808080"/>
            </w:tcBorders>
          </w:tcPr>
          <w:p>
            <w:pPr>
              <w:spacing w:after="0"/>
              <w:rPr>
                <w:sz w:val="8"/>
                <w:szCs w:val="8"/>
                <w:color w:val="auto"/>
              </w:rPr>
            </w:pPr>
          </w:p>
        </w:tc>
        <w:tc>
          <w:tcPr>
            <w:tcW w:w="860" w:type="dxa"/>
            <w:vAlign w:val="bottom"/>
            <w:tcBorders>
              <w:bottom w:val="single" w:sz="8" w:color="808080"/>
            </w:tcBorders>
          </w:tcPr>
          <w:p>
            <w:pPr>
              <w:spacing w:after="0"/>
              <w:rPr>
                <w:sz w:val="8"/>
                <w:szCs w:val="8"/>
                <w:color w:val="auto"/>
              </w:rPr>
            </w:pPr>
          </w:p>
        </w:tc>
        <w:tc>
          <w:tcPr>
            <w:tcW w:w="5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23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12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7252970</wp:posOffset>
            </wp:positionH>
            <wp:positionV relativeFrom="paragraph">
              <wp:posOffset>-12700</wp:posOffset>
            </wp:positionV>
            <wp:extent cx="1270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698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-12700</wp:posOffset>
            </wp:positionV>
            <wp:extent cx="1270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6985"/>
                    </a:xfrm>
                    <a:prstGeom prst="rect">
                      <a:avLst/>
                    </a:prstGeom>
                    <a:noFill/>
                  </pic:spPr>
                </pic:pic>
              </a:graphicData>
            </a:graphic>
          </wp:anchor>
        </w:drawing>
      </w:r>
    </w:p>
    <w:p>
      <w:pPr>
        <w:sectPr>
          <w:pgSz w:w="11900" w:h="16838" w:orient="portrait"/>
          <w:cols w:equalWidth="0" w:num="1">
            <w:col w:w="11440"/>
          </w:cols>
          <w:pgMar w:left="240" w:top="115" w:right="219" w:bottom="1440" w:gutter="0" w:footer="0" w:header="0"/>
        </w:sectPr>
      </w:pPr>
    </w:p>
    <w:bookmarkStart w:id="56" w:name="page57"/>
    <w:bookmarkEnd w:id="5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57" w:name="page58"/>
    <w:bookmarkEnd w:id="57"/>
    <w:p>
      <w:pPr>
        <w:jc w:val="right"/>
        <w:spacing w:after="0"/>
        <w:rPr>
          <w:sz w:val="20"/>
          <w:szCs w:val="20"/>
          <w:color w:val="auto"/>
        </w:rPr>
      </w:pPr>
      <w:r>
        <w:rPr>
          <w:rFonts w:ascii="Arial" w:cs="Arial" w:eastAsia="Arial" w:hAnsi="Arial"/>
          <w:sz w:val="15"/>
          <w:szCs w:val="15"/>
          <w:b w:val="1"/>
          <w:bCs w:val="1"/>
          <w:color w:val="auto"/>
        </w:rPr>
        <w:t>Exhibit 21</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760" w:type="dxa"/>
            <w:vAlign w:val="bottom"/>
          </w:tcPr>
          <w:p>
            <w:pPr>
              <w:spacing w:after="0"/>
              <w:rPr>
                <w:sz w:val="16"/>
                <w:szCs w:val="16"/>
                <w:color w:val="auto"/>
              </w:rPr>
            </w:pPr>
          </w:p>
        </w:tc>
        <w:tc>
          <w:tcPr>
            <w:tcW w:w="4360" w:type="dxa"/>
            <w:vAlign w:val="bottom"/>
            <w:gridSpan w:val="2"/>
          </w:tcPr>
          <w:p>
            <w:pPr>
              <w:jc w:val="center"/>
              <w:ind w:right="364"/>
              <w:spacing w:after="0"/>
              <w:rPr>
                <w:sz w:val="20"/>
                <w:szCs w:val="20"/>
                <w:color w:val="auto"/>
              </w:rPr>
            </w:pPr>
            <w:r>
              <w:rPr>
                <w:rFonts w:ascii="Arial" w:cs="Arial" w:eastAsia="Arial" w:hAnsi="Arial"/>
                <w:sz w:val="15"/>
                <w:szCs w:val="15"/>
                <w:b w:val="1"/>
                <w:bCs w:val="1"/>
                <w:color w:val="auto"/>
              </w:rPr>
              <w:t>FREQUENCY ELECTRONICS, INC. and SUBSIDIARIES</w:t>
            </w:r>
          </w:p>
        </w:tc>
      </w:tr>
      <w:tr>
        <w:trPr>
          <w:trHeight w:val="386"/>
        </w:trPr>
        <w:tc>
          <w:tcPr>
            <w:tcW w:w="3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780" w:type="dxa"/>
            <w:vAlign w:val="bottom"/>
          </w:tcPr>
          <w:p>
            <w:pPr>
              <w:jc w:val="center"/>
              <w:ind w:right="944"/>
              <w:spacing w:after="0"/>
              <w:rPr>
                <w:sz w:val="20"/>
                <w:szCs w:val="20"/>
                <w:color w:val="auto"/>
              </w:rPr>
            </w:pPr>
            <w:r>
              <w:rPr>
                <w:rFonts w:ascii="Arial" w:cs="Arial" w:eastAsia="Arial" w:hAnsi="Arial"/>
                <w:sz w:val="15"/>
                <w:szCs w:val="15"/>
                <w:color w:val="auto"/>
                <w:w w:val="92"/>
              </w:rPr>
              <w:t>List of Subsidiaries of Registrant</w:t>
            </w:r>
          </w:p>
        </w:tc>
      </w:tr>
      <w:tr>
        <w:trPr>
          <w:trHeight w:val="372"/>
        </w:trPr>
        <w:tc>
          <w:tcPr>
            <w:tcW w:w="3760" w:type="dxa"/>
            <w:vAlign w:val="bottom"/>
          </w:tcPr>
          <w:p>
            <w:pPr>
              <w:ind w:left="1020"/>
              <w:spacing w:after="0"/>
              <w:rPr>
                <w:sz w:val="20"/>
                <w:szCs w:val="20"/>
                <w:color w:val="auto"/>
              </w:rPr>
            </w:pPr>
            <w:r>
              <w:rPr>
                <w:rFonts w:ascii="Arial" w:cs="Arial" w:eastAsia="Arial" w:hAnsi="Arial"/>
                <w:sz w:val="15"/>
                <w:szCs w:val="15"/>
                <w:b w:val="1"/>
                <w:bCs w:val="1"/>
                <w:color w:val="auto"/>
              </w:rPr>
              <w:t>Subsidiary &amp; Name under</w:t>
            </w:r>
          </w:p>
        </w:tc>
        <w:tc>
          <w:tcPr>
            <w:tcW w:w="580" w:type="dxa"/>
            <w:vAlign w:val="bottom"/>
          </w:tcPr>
          <w:p>
            <w:pPr>
              <w:spacing w:after="0"/>
              <w:rPr>
                <w:sz w:val="24"/>
                <w:szCs w:val="24"/>
                <w:color w:val="auto"/>
              </w:rPr>
            </w:pPr>
          </w:p>
        </w:tc>
        <w:tc>
          <w:tcPr>
            <w:tcW w:w="3780" w:type="dxa"/>
            <w:vAlign w:val="bottom"/>
          </w:tcPr>
          <w:p>
            <w:pPr>
              <w:spacing w:after="0"/>
              <w:rPr>
                <w:sz w:val="24"/>
                <w:szCs w:val="24"/>
                <w:color w:val="auto"/>
              </w:rPr>
            </w:pPr>
          </w:p>
        </w:tc>
      </w:tr>
      <w:tr>
        <w:trPr>
          <w:trHeight w:val="199"/>
        </w:trPr>
        <w:tc>
          <w:tcPr>
            <w:tcW w:w="376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which business is performed</w:t>
            </w:r>
          </w:p>
        </w:tc>
        <w:tc>
          <w:tcPr>
            <w:tcW w:w="580" w:type="dxa"/>
            <w:vAlign w:val="bottom"/>
          </w:tcPr>
          <w:p>
            <w:pPr>
              <w:spacing w:after="0"/>
              <w:rPr>
                <w:sz w:val="17"/>
                <w:szCs w:val="17"/>
                <w:color w:val="auto"/>
              </w:rPr>
            </w:pPr>
          </w:p>
        </w:tc>
        <w:tc>
          <w:tcPr>
            <w:tcW w:w="3780" w:type="dxa"/>
            <w:vAlign w:val="bottom"/>
            <w:tcBorders>
              <w:bottom w:val="single" w:sz="8" w:color="auto"/>
            </w:tcBorders>
          </w:tcPr>
          <w:p>
            <w:pPr>
              <w:ind w:left="960"/>
              <w:spacing w:after="0"/>
              <w:rPr>
                <w:sz w:val="20"/>
                <w:szCs w:val="20"/>
                <w:color w:val="auto"/>
              </w:rPr>
            </w:pPr>
            <w:r>
              <w:rPr>
                <w:rFonts w:ascii="Arial" w:cs="Arial" w:eastAsia="Arial" w:hAnsi="Arial"/>
                <w:sz w:val="15"/>
                <w:szCs w:val="15"/>
                <w:b w:val="1"/>
                <w:bCs w:val="1"/>
                <w:color w:val="auto"/>
              </w:rPr>
              <w:t>Jurisdiction of Incorporation</w:t>
            </w:r>
          </w:p>
        </w:tc>
      </w:tr>
      <w:tr>
        <w:trPr>
          <w:trHeight w:val="362"/>
        </w:trPr>
        <w:tc>
          <w:tcPr>
            <w:tcW w:w="3760" w:type="dxa"/>
            <w:vAlign w:val="bottom"/>
          </w:tcPr>
          <w:p>
            <w:pPr>
              <w:spacing w:after="0"/>
              <w:rPr>
                <w:sz w:val="20"/>
                <w:szCs w:val="20"/>
                <w:color w:val="auto"/>
              </w:rPr>
            </w:pPr>
            <w:r>
              <w:rPr>
                <w:rFonts w:ascii="Arial" w:cs="Arial" w:eastAsia="Arial" w:hAnsi="Arial"/>
                <w:sz w:val="15"/>
                <w:szCs w:val="15"/>
                <w:color w:val="auto"/>
              </w:rPr>
              <w:t>Frequency Electronics,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FEI Communications,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FEI Government Systems,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FEI Realty, Inc. (Inactive)</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Monitor Corp. (Inactive)</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FEI Zyfer,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FEI-Elcom Tech,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Delaware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Gillam-FEI, s.a.</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Belgium</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Satel-FEI, s.a.</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France</w:t>
            </w:r>
          </w:p>
        </w:tc>
      </w:tr>
      <w:tr>
        <w:trPr>
          <w:trHeight w:val="363"/>
        </w:trPr>
        <w:tc>
          <w:tcPr>
            <w:tcW w:w="3760" w:type="dxa"/>
            <w:vAlign w:val="bottom"/>
          </w:tcPr>
          <w:p>
            <w:pPr>
              <w:spacing w:after="0"/>
              <w:rPr>
                <w:sz w:val="20"/>
                <w:szCs w:val="20"/>
                <w:color w:val="auto"/>
              </w:rPr>
            </w:pPr>
            <w:r>
              <w:rPr>
                <w:rFonts w:ascii="Arial" w:cs="Arial" w:eastAsia="Arial" w:hAnsi="Arial"/>
                <w:sz w:val="15"/>
                <w:szCs w:val="15"/>
                <w:color w:val="auto"/>
              </w:rPr>
              <w:t>Frequency Electronics, Inc.</w:t>
            </w:r>
          </w:p>
        </w:tc>
        <w:tc>
          <w:tcPr>
            <w:tcW w:w="4360" w:type="dxa"/>
            <w:vAlign w:val="bottom"/>
            <w:gridSpan w:val="2"/>
          </w:tcPr>
          <w:p>
            <w:pPr>
              <w:ind w:left="580"/>
              <w:spacing w:after="0"/>
              <w:rPr>
                <w:sz w:val="20"/>
                <w:szCs w:val="20"/>
                <w:color w:val="auto"/>
              </w:rPr>
            </w:pPr>
            <w:r>
              <w:rPr>
                <w:rFonts w:ascii="Arial" w:cs="Arial" w:eastAsia="Arial" w:hAnsi="Arial"/>
                <w:sz w:val="15"/>
                <w:szCs w:val="15"/>
                <w:color w:val="auto"/>
              </w:rPr>
              <w:t>Asia People’s Republic of China</w:t>
            </w:r>
          </w:p>
        </w:tc>
      </w:tr>
    </w:tbl>
    <w:p>
      <w:pPr>
        <w:sectPr>
          <w:pgSz w:w="11900" w:h="16838" w:orient="portrait"/>
          <w:cols w:equalWidth="0" w:num="1">
            <w:col w:w="11440"/>
          </w:cols>
          <w:pgMar w:left="240" w:top="125" w:right="219" w:bottom="1440" w:gutter="0" w:footer="0" w:header="0"/>
        </w:sectPr>
      </w:pPr>
    </w:p>
    <w:bookmarkStart w:id="58" w:name="page59"/>
    <w:bookmarkEnd w:id="58"/>
    <w:p>
      <w:pPr>
        <w:jc w:val="right"/>
        <w:spacing w:after="0"/>
        <w:rPr>
          <w:sz w:val="20"/>
          <w:szCs w:val="20"/>
          <w:color w:val="auto"/>
        </w:rPr>
      </w:pPr>
      <w:r>
        <w:rPr>
          <w:rFonts w:ascii="Arial" w:cs="Arial" w:eastAsia="Arial" w:hAnsi="Arial"/>
          <w:sz w:val="15"/>
          <w:szCs w:val="15"/>
          <w:b w:val="1"/>
          <w:bCs w:val="1"/>
          <w:color w:val="auto"/>
        </w:rPr>
        <w:t>Exhibit 23.1</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200" w:lineRule="exact"/>
        <w:rPr>
          <w:sz w:val="20"/>
          <w:szCs w:val="20"/>
          <w:color w:val="auto"/>
        </w:rPr>
      </w:pP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We consent to the incorporation by reference in the Registration Statements of Frequency Electronics, Inc. on Form S-8 (Nos. 333-08901, 333-40506, 333-140938, 333-156600, 333-42233 and 333-188952) of our report dated July 29, 2014 on our audits of the consolidated financial statements as of April 30, 2014 and 2013 and for each of the years in the two-year period ended April 30, 2014 which report is included in this Annual Report on Form 10-K to be filed on or about July 29, 2014.</w:t>
      </w:r>
    </w:p>
    <w:p>
      <w:pPr>
        <w:spacing w:after="0" w:line="382"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 EisnerAmper LLP</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EisnerAmper LLP</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18" w:lineRule="exact"/>
        <w:rPr>
          <w:sz w:val="20"/>
          <w:szCs w:val="20"/>
          <w:color w:val="auto"/>
        </w:rPr>
      </w:pPr>
    </w:p>
    <w:p>
      <w:pPr>
        <w:spacing w:after="0"/>
        <w:rPr>
          <w:sz w:val="20"/>
          <w:szCs w:val="20"/>
          <w:color w:val="auto"/>
        </w:rPr>
      </w:pPr>
      <w:r>
        <w:rPr>
          <w:rFonts w:ascii="Arial" w:cs="Arial" w:eastAsia="Arial" w:hAnsi="Arial"/>
          <w:sz w:val="15"/>
          <w:szCs w:val="15"/>
          <w:color w:val="auto"/>
        </w:rPr>
        <w:t>July 29, 2014</w:t>
      </w:r>
    </w:p>
    <w:p>
      <w:pPr>
        <w:sectPr>
          <w:pgSz w:w="11900" w:h="16838" w:orient="portrait"/>
          <w:cols w:equalWidth="0" w:num="1">
            <w:col w:w="11440"/>
          </w:cols>
          <w:pgMar w:left="240" w:top="125" w:right="219" w:bottom="1440" w:gutter="0" w:footer="0" w:header="0"/>
        </w:sectPr>
      </w:pPr>
    </w:p>
    <w:bookmarkStart w:id="59" w:name="page60"/>
    <w:bookmarkEnd w:id="59"/>
    <w:p>
      <w:pPr>
        <w:jc w:val="right"/>
        <w:spacing w:after="0"/>
        <w:rPr>
          <w:sz w:val="20"/>
          <w:szCs w:val="20"/>
          <w:color w:val="auto"/>
        </w:rPr>
      </w:pPr>
      <w:r>
        <w:rPr>
          <w:rFonts w:ascii="Arial" w:cs="Arial" w:eastAsia="Arial" w:hAnsi="Arial"/>
          <w:sz w:val="15"/>
          <w:szCs w:val="15"/>
          <w:b w:val="1"/>
          <w:bCs w:val="1"/>
          <w:color w:val="auto"/>
        </w:rPr>
        <w:t>Exhibit 31.1</w:t>
      </w:r>
    </w:p>
    <w:p>
      <w:pPr>
        <w:spacing w:after="0" w:line="200" w:lineRule="exact"/>
        <w:rPr>
          <w:sz w:val="20"/>
          <w:szCs w:val="20"/>
          <w:color w:val="auto"/>
        </w:rPr>
      </w:pPr>
    </w:p>
    <w:p>
      <w:pPr>
        <w:spacing w:after="0" w:line="221"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Certification</w:t>
      </w:r>
    </w:p>
    <w:p>
      <w:pPr>
        <w:spacing w:after="0" w:line="200" w:lineRule="exact"/>
        <w:rPr>
          <w:sz w:val="20"/>
          <w:szCs w:val="20"/>
          <w:color w:val="auto"/>
        </w:rPr>
      </w:pPr>
    </w:p>
    <w:p>
      <w:pPr>
        <w:spacing w:after="0" w:line="217" w:lineRule="exact"/>
        <w:rPr>
          <w:sz w:val="20"/>
          <w:szCs w:val="20"/>
          <w:color w:val="auto"/>
        </w:rPr>
      </w:pPr>
    </w:p>
    <w:p>
      <w:pPr>
        <w:ind w:left="9"/>
        <w:spacing w:after="0"/>
        <w:rPr>
          <w:sz w:val="20"/>
          <w:szCs w:val="20"/>
          <w:color w:val="auto"/>
        </w:rPr>
      </w:pPr>
      <w:r>
        <w:rPr>
          <w:rFonts w:ascii="Arial" w:cs="Arial" w:eastAsia="Arial" w:hAnsi="Arial"/>
          <w:sz w:val="15"/>
          <w:szCs w:val="15"/>
          <w:color w:val="auto"/>
        </w:rPr>
        <w:t>I, Martin B. Bloch, certify that:</w:t>
      </w:r>
    </w:p>
    <w:p>
      <w:pPr>
        <w:spacing w:after="0" w:line="213" w:lineRule="exact"/>
        <w:rPr>
          <w:sz w:val="20"/>
          <w:szCs w:val="20"/>
          <w:color w:val="auto"/>
        </w:rPr>
      </w:pPr>
    </w:p>
    <w:p>
      <w:pPr>
        <w:ind w:left="149" w:hanging="149"/>
        <w:spacing w:after="0"/>
        <w:tabs>
          <w:tab w:leader="none" w:pos="149" w:val="left"/>
        </w:tabs>
        <w:numPr>
          <w:ilvl w:val="0"/>
          <w:numId w:val="20"/>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Frequency Electronics, Inc.;</w:t>
      </w:r>
    </w:p>
    <w:p>
      <w:pPr>
        <w:spacing w:after="0" w:line="213" w:lineRule="exact"/>
        <w:rPr>
          <w:rFonts w:ascii="Arial" w:cs="Arial" w:eastAsia="Arial" w:hAnsi="Arial"/>
          <w:sz w:val="15"/>
          <w:szCs w:val="15"/>
          <w:color w:val="auto"/>
        </w:rPr>
      </w:pPr>
    </w:p>
    <w:p>
      <w:pPr>
        <w:ind w:left="9" w:right="20" w:hanging="9"/>
        <w:spacing w:after="0" w:line="277" w:lineRule="auto"/>
        <w:tabs>
          <w:tab w:leader="none" w:pos="177"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9" w:hanging="9"/>
        <w:spacing w:after="0" w:line="277" w:lineRule="auto"/>
        <w:tabs>
          <w:tab w:leader="none" w:pos="186" w:val="left"/>
        </w:tabs>
        <w:numPr>
          <w:ilvl w:val="0"/>
          <w:numId w:val="20"/>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9" w:hanging="9"/>
        <w:spacing w:after="0" w:line="277" w:lineRule="auto"/>
        <w:tabs>
          <w:tab w:leader="none" w:pos="168"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left="549" w:hanging="5"/>
        <w:spacing w:after="0" w:line="265" w:lineRule="auto"/>
        <w:tabs>
          <w:tab w:leader="none" w:pos="761"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549" w:hanging="5"/>
        <w:spacing w:after="0" w:line="265" w:lineRule="auto"/>
        <w:tabs>
          <w:tab w:leader="none" w:pos="777" w:val="left"/>
        </w:tabs>
        <w:numPr>
          <w:ilvl w:val="1"/>
          <w:numId w:val="20"/>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549" w:hanging="5"/>
        <w:spacing w:after="0" w:line="277" w:lineRule="auto"/>
        <w:tabs>
          <w:tab w:leader="none" w:pos="762" w:val="left"/>
        </w:tabs>
        <w:numPr>
          <w:ilvl w:val="1"/>
          <w:numId w:val="2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549" w:right="20" w:hanging="5"/>
        <w:spacing w:after="0" w:line="357" w:lineRule="auto"/>
        <w:tabs>
          <w:tab w:leader="none" w:pos="775" w:val="left"/>
        </w:tabs>
        <w:numPr>
          <w:ilvl w:val="1"/>
          <w:numId w:val="20"/>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Arial" w:cs="Arial" w:eastAsia="Arial" w:hAnsi="Arial"/>
          <w:sz w:val="13"/>
          <w:szCs w:val="13"/>
          <w:color w:val="auto"/>
        </w:rPr>
      </w:pPr>
    </w:p>
    <w:p>
      <w:pPr>
        <w:ind w:left="9" w:hanging="9"/>
        <w:spacing w:after="0" w:line="277" w:lineRule="auto"/>
        <w:tabs>
          <w:tab w:leader="none" w:pos="173" w:val="left"/>
        </w:tabs>
        <w:numPr>
          <w:ilvl w:val="0"/>
          <w:numId w:val="20"/>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549" w:hanging="5"/>
        <w:spacing w:after="0" w:line="277" w:lineRule="auto"/>
        <w:tabs>
          <w:tab w:leader="none" w:pos="766" w:val="left"/>
        </w:tabs>
        <w:numPr>
          <w:ilvl w:val="1"/>
          <w:numId w:val="20"/>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749" w:hanging="205"/>
        <w:spacing w:after="0"/>
        <w:tabs>
          <w:tab w:leader="none" w:pos="749" w:val="left"/>
        </w:tabs>
        <w:numPr>
          <w:ilvl w:val="1"/>
          <w:numId w:val="20"/>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5"/>
          <w:szCs w:val="15"/>
          <w:color w:val="auto"/>
        </w:rPr>
        <w:t>Date: July 29, 2014</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5"/>
          <w:szCs w:val="15"/>
          <w:color w:val="auto"/>
        </w:rPr>
        <w:t>By: /s/ Martin B. Bloch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-8255</wp:posOffset>
            </wp:positionV>
            <wp:extent cx="167767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7767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color w:val="auto"/>
        </w:rPr>
        <w:t>Martin B. Bloch</w:t>
      </w:r>
    </w:p>
    <w:p>
      <w:pPr>
        <w:spacing w:after="0" w:line="9" w:lineRule="exact"/>
        <w:rPr>
          <w:sz w:val="20"/>
          <w:szCs w:val="20"/>
          <w:color w:val="auto"/>
        </w:rPr>
      </w:pPr>
    </w:p>
    <w:p>
      <w:pPr>
        <w:ind w:left="9"/>
        <w:spacing w:after="0"/>
        <w:rPr>
          <w:sz w:val="20"/>
          <w:szCs w:val="20"/>
          <w:color w:val="auto"/>
        </w:rPr>
      </w:pPr>
      <w:r>
        <w:rPr>
          <w:rFonts w:ascii="Arial" w:cs="Arial" w:eastAsia="Arial" w:hAnsi="Arial"/>
          <w:sz w:val="15"/>
          <w:szCs w:val="15"/>
          <w:color w:val="auto"/>
        </w:rPr>
        <w:t>Chief Executive Officer</w:t>
      </w:r>
    </w:p>
    <w:p>
      <w:pPr>
        <w:sectPr>
          <w:pgSz w:w="11900" w:h="16838" w:orient="portrait"/>
          <w:cols w:equalWidth="0" w:num="1">
            <w:col w:w="11449"/>
          </w:cols>
          <w:pgMar w:left="231" w:top="125" w:right="219" w:bottom="1440" w:gutter="0" w:footer="0" w:header="0"/>
        </w:sectPr>
      </w:pPr>
    </w:p>
    <w:bookmarkStart w:id="60" w:name="page61"/>
    <w:bookmarkEnd w:id="60"/>
    <w:p>
      <w:pPr>
        <w:jc w:val="right"/>
        <w:spacing w:after="0"/>
        <w:rPr>
          <w:sz w:val="20"/>
          <w:szCs w:val="20"/>
          <w:color w:val="auto"/>
        </w:rPr>
      </w:pPr>
      <w:r>
        <w:rPr>
          <w:rFonts w:ascii="Arial" w:cs="Arial" w:eastAsia="Arial" w:hAnsi="Arial"/>
          <w:sz w:val="15"/>
          <w:szCs w:val="15"/>
          <w:b w:val="1"/>
          <w:bCs w:val="1"/>
          <w:color w:val="auto"/>
        </w:rPr>
        <w:t>Exhibit 31.2</w:t>
      </w:r>
    </w:p>
    <w:p>
      <w:pPr>
        <w:spacing w:after="0" w:line="217" w:lineRule="exact"/>
        <w:rPr>
          <w:sz w:val="20"/>
          <w:szCs w:val="20"/>
          <w:color w:val="auto"/>
        </w:rPr>
      </w:pPr>
    </w:p>
    <w:p>
      <w:pPr>
        <w:jc w:val="center"/>
        <w:ind w:right="-8"/>
        <w:spacing w:after="0"/>
        <w:rPr>
          <w:sz w:val="20"/>
          <w:szCs w:val="20"/>
          <w:color w:val="auto"/>
        </w:rPr>
      </w:pPr>
      <w:r>
        <w:rPr>
          <w:rFonts w:ascii="Arial" w:cs="Arial" w:eastAsia="Arial" w:hAnsi="Arial"/>
          <w:sz w:val="15"/>
          <w:szCs w:val="15"/>
          <w:color w:val="auto"/>
        </w:rPr>
        <w:t>Certification</w:t>
      </w:r>
    </w:p>
    <w:p>
      <w:pPr>
        <w:spacing w:after="0" w:line="200" w:lineRule="exact"/>
        <w:rPr>
          <w:sz w:val="20"/>
          <w:szCs w:val="20"/>
          <w:color w:val="auto"/>
        </w:rPr>
      </w:pPr>
    </w:p>
    <w:p>
      <w:pPr>
        <w:spacing w:after="0" w:line="217" w:lineRule="exact"/>
        <w:rPr>
          <w:sz w:val="20"/>
          <w:szCs w:val="20"/>
          <w:color w:val="auto"/>
        </w:rPr>
      </w:pPr>
    </w:p>
    <w:p>
      <w:pPr>
        <w:ind w:left="9"/>
        <w:spacing w:after="0"/>
        <w:rPr>
          <w:sz w:val="20"/>
          <w:szCs w:val="20"/>
          <w:color w:val="auto"/>
        </w:rPr>
      </w:pPr>
      <w:r>
        <w:rPr>
          <w:rFonts w:ascii="Arial" w:cs="Arial" w:eastAsia="Arial" w:hAnsi="Arial"/>
          <w:sz w:val="15"/>
          <w:szCs w:val="15"/>
          <w:color w:val="auto"/>
        </w:rPr>
        <w:t>I, Alan L. Miller, certify that:</w:t>
      </w:r>
    </w:p>
    <w:p>
      <w:pPr>
        <w:spacing w:after="0" w:line="213" w:lineRule="exact"/>
        <w:rPr>
          <w:sz w:val="20"/>
          <w:szCs w:val="20"/>
          <w:color w:val="auto"/>
        </w:rPr>
      </w:pPr>
    </w:p>
    <w:p>
      <w:pPr>
        <w:ind w:left="149" w:hanging="149"/>
        <w:spacing w:after="0"/>
        <w:tabs>
          <w:tab w:leader="none" w:pos="149" w:val="left"/>
        </w:tabs>
        <w:numPr>
          <w:ilvl w:val="0"/>
          <w:numId w:val="21"/>
        </w:numPr>
        <w:rPr>
          <w:rFonts w:ascii="Arial" w:cs="Arial" w:eastAsia="Arial" w:hAnsi="Arial"/>
          <w:sz w:val="15"/>
          <w:szCs w:val="15"/>
          <w:color w:val="auto"/>
        </w:rPr>
      </w:pPr>
      <w:r>
        <w:rPr>
          <w:rFonts w:ascii="Arial" w:cs="Arial" w:eastAsia="Arial" w:hAnsi="Arial"/>
          <w:sz w:val="15"/>
          <w:szCs w:val="15"/>
          <w:color w:val="auto"/>
        </w:rPr>
        <w:t>I have reviewed this annual report on Form 10-K of Frequency Electronics, Inc.;</w:t>
      </w:r>
    </w:p>
    <w:p>
      <w:pPr>
        <w:spacing w:after="0" w:line="213" w:lineRule="exact"/>
        <w:rPr>
          <w:rFonts w:ascii="Arial" w:cs="Arial" w:eastAsia="Arial" w:hAnsi="Arial"/>
          <w:sz w:val="15"/>
          <w:szCs w:val="15"/>
          <w:color w:val="auto"/>
        </w:rPr>
      </w:pPr>
    </w:p>
    <w:p>
      <w:pPr>
        <w:ind w:left="9" w:right="20" w:hanging="9"/>
        <w:spacing w:after="0" w:line="277" w:lineRule="auto"/>
        <w:tabs>
          <w:tab w:leader="none" w:pos="177"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9" w:lineRule="exact"/>
        <w:rPr>
          <w:rFonts w:ascii="Arial" w:cs="Arial" w:eastAsia="Arial" w:hAnsi="Arial"/>
          <w:sz w:val="15"/>
          <w:szCs w:val="15"/>
          <w:color w:val="auto"/>
        </w:rPr>
      </w:pPr>
    </w:p>
    <w:p>
      <w:pPr>
        <w:ind w:left="9" w:hanging="9"/>
        <w:spacing w:after="0" w:line="277" w:lineRule="auto"/>
        <w:tabs>
          <w:tab w:leader="none" w:pos="186" w:val="left"/>
        </w:tabs>
        <w:numPr>
          <w:ilvl w:val="0"/>
          <w:numId w:val="21"/>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5"/>
          <w:szCs w:val="15"/>
          <w:color w:val="auto"/>
        </w:rPr>
      </w:pPr>
    </w:p>
    <w:p>
      <w:pPr>
        <w:ind w:left="9" w:hanging="9"/>
        <w:spacing w:after="0" w:line="277" w:lineRule="auto"/>
        <w:tabs>
          <w:tab w:leader="none" w:pos="168"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Arial" w:cs="Arial" w:eastAsia="Arial" w:hAnsi="Arial"/>
          <w:sz w:val="15"/>
          <w:szCs w:val="15"/>
          <w:color w:val="auto"/>
        </w:rPr>
      </w:pPr>
    </w:p>
    <w:p>
      <w:pPr>
        <w:jc w:val="both"/>
        <w:ind w:left="549" w:hanging="5"/>
        <w:spacing w:after="0" w:line="265" w:lineRule="auto"/>
        <w:tabs>
          <w:tab w:leader="none" w:pos="761"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Arial" w:cs="Arial" w:eastAsia="Arial" w:hAnsi="Arial"/>
          <w:sz w:val="15"/>
          <w:szCs w:val="15"/>
          <w:color w:val="auto"/>
        </w:rPr>
      </w:pPr>
    </w:p>
    <w:p>
      <w:pPr>
        <w:jc w:val="both"/>
        <w:ind w:left="549" w:hanging="5"/>
        <w:spacing w:after="0" w:line="265" w:lineRule="auto"/>
        <w:tabs>
          <w:tab w:leader="none" w:pos="777" w:val="left"/>
        </w:tabs>
        <w:numPr>
          <w:ilvl w:val="1"/>
          <w:numId w:val="21"/>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Arial" w:cs="Arial" w:eastAsia="Arial" w:hAnsi="Arial"/>
          <w:sz w:val="15"/>
          <w:szCs w:val="15"/>
          <w:color w:val="auto"/>
        </w:rPr>
      </w:pPr>
    </w:p>
    <w:p>
      <w:pPr>
        <w:ind w:left="549" w:hanging="5"/>
        <w:spacing w:after="0" w:line="277" w:lineRule="auto"/>
        <w:tabs>
          <w:tab w:leader="none" w:pos="762" w:val="left"/>
        </w:tabs>
        <w:numPr>
          <w:ilvl w:val="1"/>
          <w:numId w:val="2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5"/>
          <w:szCs w:val="15"/>
          <w:color w:val="auto"/>
        </w:rPr>
      </w:pPr>
    </w:p>
    <w:p>
      <w:pPr>
        <w:ind w:left="549" w:right="20" w:hanging="5"/>
        <w:spacing w:after="0" w:line="357" w:lineRule="auto"/>
        <w:tabs>
          <w:tab w:leader="none" w:pos="775" w:val="left"/>
        </w:tabs>
        <w:numPr>
          <w:ilvl w:val="1"/>
          <w:numId w:val="2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2" w:lineRule="exact"/>
        <w:rPr>
          <w:rFonts w:ascii="Arial" w:cs="Arial" w:eastAsia="Arial" w:hAnsi="Arial"/>
          <w:sz w:val="13"/>
          <w:szCs w:val="13"/>
          <w:color w:val="auto"/>
        </w:rPr>
      </w:pPr>
    </w:p>
    <w:p>
      <w:pPr>
        <w:ind w:left="9" w:hanging="9"/>
        <w:spacing w:after="0" w:line="277" w:lineRule="auto"/>
        <w:tabs>
          <w:tab w:leader="none" w:pos="173"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5"/>
          <w:szCs w:val="15"/>
          <w:color w:val="auto"/>
        </w:rPr>
      </w:pPr>
    </w:p>
    <w:p>
      <w:pPr>
        <w:ind w:left="549" w:hanging="5"/>
        <w:spacing w:after="0" w:line="277" w:lineRule="auto"/>
        <w:tabs>
          <w:tab w:leader="none" w:pos="766" w:val="left"/>
        </w:tabs>
        <w:numPr>
          <w:ilvl w:val="1"/>
          <w:numId w:val="21"/>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9" w:lineRule="exact"/>
        <w:rPr>
          <w:rFonts w:ascii="Arial" w:cs="Arial" w:eastAsia="Arial" w:hAnsi="Arial"/>
          <w:sz w:val="15"/>
          <w:szCs w:val="15"/>
          <w:color w:val="auto"/>
        </w:rPr>
      </w:pPr>
    </w:p>
    <w:p>
      <w:pPr>
        <w:ind w:left="749" w:hanging="205"/>
        <w:spacing w:after="0"/>
        <w:tabs>
          <w:tab w:leader="none" w:pos="749" w:val="left"/>
        </w:tabs>
        <w:numPr>
          <w:ilvl w:val="1"/>
          <w:numId w:val="2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9"/>
        <w:spacing w:after="0"/>
        <w:rPr>
          <w:sz w:val="20"/>
          <w:szCs w:val="20"/>
          <w:color w:val="auto"/>
        </w:rPr>
      </w:pPr>
      <w:r>
        <w:rPr>
          <w:rFonts w:ascii="Arial" w:cs="Arial" w:eastAsia="Arial" w:hAnsi="Arial"/>
          <w:sz w:val="15"/>
          <w:szCs w:val="15"/>
          <w:color w:val="auto"/>
        </w:rPr>
        <w:t>Date: July 29, 2014</w:t>
      </w:r>
    </w:p>
    <w:p>
      <w:pPr>
        <w:spacing w:after="0" w:line="213" w:lineRule="exact"/>
        <w:rPr>
          <w:sz w:val="20"/>
          <w:szCs w:val="20"/>
          <w:color w:val="auto"/>
        </w:rPr>
      </w:pPr>
    </w:p>
    <w:p>
      <w:pPr>
        <w:ind w:left="9"/>
        <w:spacing w:after="0"/>
        <w:rPr>
          <w:sz w:val="20"/>
          <w:szCs w:val="20"/>
          <w:color w:val="auto"/>
        </w:rPr>
      </w:pPr>
      <w:r>
        <w:rPr>
          <w:rFonts w:ascii="Arial" w:cs="Arial" w:eastAsia="Arial" w:hAnsi="Arial"/>
          <w:sz w:val="15"/>
          <w:szCs w:val="15"/>
          <w:color w:val="auto"/>
        </w:rPr>
        <w:t>By: /s/ Alan L. Miller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-8255</wp:posOffset>
            </wp:positionV>
            <wp:extent cx="144018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440180" cy="6985"/>
                    </a:xfrm>
                    <a:prstGeom prst="rect">
                      <a:avLst/>
                    </a:prstGeom>
                    <a:noFill/>
                  </pic:spPr>
                </pic:pic>
              </a:graphicData>
            </a:graphic>
          </wp:anchor>
        </w:drawing>
      </w:r>
    </w:p>
    <w:p>
      <w:pPr>
        <w:ind w:left="9"/>
        <w:spacing w:after="0"/>
        <w:rPr>
          <w:sz w:val="20"/>
          <w:szCs w:val="20"/>
          <w:color w:val="auto"/>
        </w:rPr>
      </w:pPr>
      <w:r>
        <w:rPr>
          <w:rFonts w:ascii="Arial" w:cs="Arial" w:eastAsia="Arial" w:hAnsi="Arial"/>
          <w:sz w:val="15"/>
          <w:szCs w:val="15"/>
          <w:color w:val="auto"/>
        </w:rPr>
        <w:t>Alan L. Miller</w:t>
      </w:r>
    </w:p>
    <w:p>
      <w:pPr>
        <w:spacing w:after="0" w:line="9" w:lineRule="exact"/>
        <w:rPr>
          <w:sz w:val="20"/>
          <w:szCs w:val="20"/>
          <w:color w:val="auto"/>
        </w:rPr>
      </w:pPr>
    </w:p>
    <w:p>
      <w:pPr>
        <w:ind w:left="9"/>
        <w:spacing w:after="0"/>
        <w:rPr>
          <w:sz w:val="20"/>
          <w:szCs w:val="20"/>
          <w:color w:val="auto"/>
        </w:rPr>
      </w:pPr>
      <w:r>
        <w:rPr>
          <w:rFonts w:ascii="Arial" w:cs="Arial" w:eastAsia="Arial" w:hAnsi="Arial"/>
          <w:sz w:val="15"/>
          <w:szCs w:val="15"/>
          <w:color w:val="auto"/>
        </w:rPr>
        <w:t>Chief Financial Officer</w:t>
      </w:r>
    </w:p>
    <w:p>
      <w:pPr>
        <w:sectPr>
          <w:pgSz w:w="11900" w:h="16838" w:orient="portrait"/>
          <w:cols w:equalWidth="0" w:num="1">
            <w:col w:w="11449"/>
          </w:cols>
          <w:pgMar w:left="231" w:top="125" w:right="219" w:bottom="1440" w:gutter="0" w:footer="0" w:header="0"/>
        </w:sectPr>
      </w:pPr>
    </w:p>
    <w:bookmarkStart w:id="61" w:name="page62"/>
    <w:bookmarkEnd w:id="61"/>
    <w:p>
      <w:pPr>
        <w:jc w:val="right"/>
        <w:spacing w:after="0"/>
        <w:rPr>
          <w:sz w:val="20"/>
          <w:szCs w:val="20"/>
          <w:color w:val="auto"/>
        </w:rPr>
      </w:pPr>
      <w:r>
        <w:rPr>
          <w:rFonts w:ascii="Arial" w:cs="Arial" w:eastAsia="Arial" w:hAnsi="Arial"/>
          <w:sz w:val="15"/>
          <w:szCs w:val="15"/>
          <w:b w:val="1"/>
          <w:bCs w:val="1"/>
          <w:color w:val="auto"/>
        </w:rPr>
        <w:t>Exhibit 32</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CERTIFICATION PURSUANT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SARBANES-OXLEY ACT OF 2002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Certification of CEO</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connection with the Annual Report of Frequency Electronics, Inc. (the “Company”) on Form 10-K for the year ended April 30, 2014 as filed with the Securities and Exchange Commission on the date hereof (the “Report”), I, Martin B. Bloch, Chief Executive Officer of the Company, certify, pursuant to Section 18 U.S.C. 1350, as adopted pursuant to Section 906 of the Sarbanes-Oxley Act of 2002, that: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(1)The Report fully complies with the requirements of Section 13(a) and 15(d) of the Securities Exchange Act of 1934; and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Martin B. Bloch</w:t>
            </w:r>
          </w:p>
        </w:tc>
        <w:tc>
          <w:tcPr>
            <w:tcW w:w="1840" w:type="dxa"/>
            <w:vAlign w:val="bottom"/>
          </w:tcPr>
          <w:p>
            <w:pPr>
              <w:ind w:left="1020"/>
              <w:spacing w:after="0"/>
              <w:rPr>
                <w:sz w:val="20"/>
                <w:szCs w:val="20"/>
                <w:color w:val="auto"/>
              </w:rPr>
            </w:pPr>
            <w:r>
              <w:rPr>
                <w:rFonts w:ascii="Arial" w:cs="Arial" w:eastAsia="Arial" w:hAnsi="Arial"/>
                <w:sz w:val="15"/>
                <w:szCs w:val="15"/>
                <w:color w:val="auto"/>
                <w:w w:val="89"/>
              </w:rPr>
              <w:t>July 29, 2014</w:t>
            </w:r>
          </w:p>
        </w:tc>
      </w:tr>
      <w:tr>
        <w:trPr>
          <w:trHeight w:val="185"/>
        </w:trPr>
        <w:tc>
          <w:tcPr>
            <w:tcW w:w="2100" w:type="dxa"/>
            <w:vAlign w:val="bottom"/>
          </w:tcPr>
          <w:p>
            <w:pPr>
              <w:spacing w:after="0"/>
              <w:rPr>
                <w:sz w:val="20"/>
                <w:szCs w:val="20"/>
                <w:color w:val="auto"/>
              </w:rPr>
            </w:pPr>
            <w:r>
              <w:rPr>
                <w:rFonts w:ascii="Arial" w:cs="Arial" w:eastAsia="Arial" w:hAnsi="Arial"/>
                <w:sz w:val="15"/>
                <w:szCs w:val="15"/>
                <w:color w:val="auto"/>
              </w:rPr>
              <w:t>Martin B. Bloch</w:t>
            </w:r>
          </w:p>
        </w:tc>
        <w:tc>
          <w:tcPr>
            <w:tcW w:w="1840" w:type="dxa"/>
            <w:vAlign w:val="bottom"/>
          </w:tcPr>
          <w:p>
            <w:pPr>
              <w:spacing w:after="0"/>
              <w:rPr>
                <w:sz w:val="16"/>
                <w:szCs w:val="16"/>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5"/>
                <w:szCs w:val="15"/>
                <w:color w:val="auto"/>
              </w:rPr>
              <w:t>Chief Executive Officer</w:t>
            </w:r>
          </w:p>
        </w:tc>
        <w:tc>
          <w:tcPr>
            <w:tcW w:w="1840" w:type="dxa"/>
            <w:vAlign w:val="bottom"/>
          </w:tcPr>
          <w:p>
            <w:pPr>
              <w:spacing w:after="0"/>
              <w:rPr>
                <w:sz w:val="16"/>
                <w:szCs w:val="16"/>
                <w:color w:val="auto"/>
              </w:rPr>
            </w:pPr>
          </w:p>
        </w:tc>
      </w:tr>
    </w:tbl>
    <w:p>
      <w:pPr>
        <w:spacing w:after="0" w:line="395" w:lineRule="exact"/>
        <w:rPr>
          <w:sz w:val="20"/>
          <w:szCs w:val="20"/>
          <w:color w:val="auto"/>
        </w:rPr>
      </w:pPr>
    </w:p>
    <w:p>
      <w:pPr>
        <w:spacing w:after="0"/>
        <w:rPr>
          <w:sz w:val="20"/>
          <w:szCs w:val="20"/>
          <w:color w:val="auto"/>
        </w:rPr>
      </w:pPr>
      <w:r>
        <w:rPr>
          <w:rFonts w:ascii="Arial" w:cs="Arial" w:eastAsia="Arial" w:hAnsi="Arial"/>
          <w:sz w:val="15"/>
          <w:szCs w:val="15"/>
          <w:b w:val="1"/>
          <w:bCs w:val="1"/>
          <w:u w:val="single" w:color="auto"/>
          <w:color w:val="auto"/>
        </w:rPr>
        <w:t>Certification of CFO</w:t>
      </w:r>
    </w:p>
    <w:p>
      <w:pPr>
        <w:spacing w:after="0" w:line="217"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In connection with the Annual Report of Frequency Electronics, Inc. (the “Company”) on Form 10-K for the year ended April 30, 2014 as filed with the Securities and Exchange Commission on the date hereof (the “Report”), I, Alan L. Miller, Chief Financial Officer of the Company, certify, pursuant to Section 18 U.S.C. 1350, as adopted pursuant to Section 906 of the Sarbanes-Oxley Act of 2002, that:</w:t>
      </w:r>
    </w:p>
    <w:p>
      <w:pPr>
        <w:spacing w:after="0" w:line="177" w:lineRule="exact"/>
        <w:rPr>
          <w:sz w:val="20"/>
          <w:szCs w:val="20"/>
          <w:color w:val="auto"/>
        </w:rPr>
      </w:pPr>
    </w:p>
    <w:p>
      <w:pPr>
        <w:ind w:left="240"/>
        <w:spacing w:after="0"/>
        <w:rPr>
          <w:sz w:val="20"/>
          <w:szCs w:val="20"/>
          <w:color w:val="auto"/>
        </w:rPr>
      </w:pPr>
      <w:r>
        <w:rPr>
          <w:rFonts w:ascii="Arial" w:cs="Arial" w:eastAsia="Arial" w:hAnsi="Arial"/>
          <w:sz w:val="15"/>
          <w:szCs w:val="15"/>
          <w:color w:val="auto"/>
        </w:rPr>
        <w:t>(1)The Report fully complies with the requirements of Section 13(a) and 15(d) of the Securities Exchange Act of 1934; and</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5"/>
          <w:szCs w:val="15"/>
          <w:color w:val="auto"/>
        </w:rPr>
        <w:t>(2)The information contained in the Report fairly presents, in all material respects, the financial condition and results of operations of the Company.</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Alan L. Miller</w:t>
            </w:r>
          </w:p>
        </w:tc>
        <w:tc>
          <w:tcPr>
            <w:tcW w:w="1880" w:type="dxa"/>
            <w:vAlign w:val="bottom"/>
          </w:tcPr>
          <w:p>
            <w:pPr>
              <w:ind w:left="1060"/>
              <w:spacing w:after="0"/>
              <w:rPr>
                <w:sz w:val="20"/>
                <w:szCs w:val="20"/>
                <w:color w:val="auto"/>
              </w:rPr>
            </w:pPr>
            <w:r>
              <w:rPr>
                <w:rFonts w:ascii="Arial" w:cs="Arial" w:eastAsia="Arial" w:hAnsi="Arial"/>
                <w:sz w:val="15"/>
                <w:szCs w:val="15"/>
                <w:color w:val="auto"/>
                <w:w w:val="89"/>
              </w:rPr>
              <w:t>July 29, 2014</w:t>
            </w:r>
          </w:p>
        </w:tc>
      </w:tr>
      <w:tr>
        <w:trPr>
          <w:trHeight w:val="185"/>
        </w:trPr>
        <w:tc>
          <w:tcPr>
            <w:tcW w:w="2100" w:type="dxa"/>
            <w:vAlign w:val="bottom"/>
          </w:tcPr>
          <w:p>
            <w:pPr>
              <w:spacing w:after="0"/>
              <w:rPr>
                <w:sz w:val="20"/>
                <w:szCs w:val="20"/>
                <w:color w:val="auto"/>
              </w:rPr>
            </w:pPr>
            <w:r>
              <w:rPr>
                <w:rFonts w:ascii="Arial" w:cs="Arial" w:eastAsia="Arial" w:hAnsi="Arial"/>
                <w:sz w:val="15"/>
                <w:szCs w:val="15"/>
                <w:color w:val="auto"/>
              </w:rPr>
              <w:t>Alan L. Miller</w:t>
            </w:r>
          </w:p>
        </w:tc>
        <w:tc>
          <w:tcPr>
            <w:tcW w:w="1880" w:type="dxa"/>
            <w:vAlign w:val="bottom"/>
          </w:tcPr>
          <w:p>
            <w:pPr>
              <w:spacing w:after="0"/>
              <w:rPr>
                <w:sz w:val="16"/>
                <w:szCs w:val="16"/>
                <w:color w:val="auto"/>
              </w:rPr>
            </w:pPr>
          </w:p>
        </w:tc>
      </w:tr>
      <w:tr>
        <w:trPr>
          <w:trHeight w:val="191"/>
        </w:trPr>
        <w:tc>
          <w:tcPr>
            <w:tcW w:w="2100" w:type="dxa"/>
            <w:vAlign w:val="bottom"/>
          </w:tcPr>
          <w:p>
            <w:pPr>
              <w:spacing w:after="0"/>
              <w:rPr>
                <w:sz w:val="20"/>
                <w:szCs w:val="20"/>
                <w:color w:val="auto"/>
              </w:rPr>
            </w:pPr>
            <w:r>
              <w:rPr>
                <w:rFonts w:ascii="Arial" w:cs="Arial" w:eastAsia="Arial" w:hAnsi="Arial"/>
                <w:sz w:val="15"/>
                <w:szCs w:val="15"/>
                <w:color w:val="auto"/>
              </w:rPr>
              <w:t>Chief Financial Officer</w:t>
            </w:r>
          </w:p>
        </w:tc>
        <w:tc>
          <w:tcPr>
            <w:tcW w:w="1880" w:type="dxa"/>
            <w:vAlign w:val="bottom"/>
          </w:tcPr>
          <w:p>
            <w:pPr>
              <w:spacing w:after="0"/>
              <w:rPr>
                <w:sz w:val="16"/>
                <w:szCs w:val="16"/>
                <w:color w:val="auto"/>
              </w:rPr>
            </w:pPr>
          </w:p>
        </w:tc>
      </w:tr>
    </w:tbl>
    <w:p>
      <w:pPr>
        <w:spacing w:after="0" w:line="399" w:lineRule="exact"/>
        <w:rPr>
          <w:sz w:val="20"/>
          <w:szCs w:val="20"/>
          <w:color w:val="auto"/>
        </w:rPr>
      </w:pPr>
    </w:p>
    <w:p>
      <w:pPr>
        <w:jc w:val="both"/>
        <w:spacing w:after="0" w:line="265" w:lineRule="auto"/>
        <w:rPr>
          <w:sz w:val="20"/>
          <w:szCs w:val="20"/>
          <w:color w:val="auto"/>
        </w:rPr>
      </w:pPr>
      <w:r>
        <w:rPr>
          <w:rFonts w:ascii="Arial" w:cs="Arial" w:eastAsia="Arial" w:hAnsi="Arial"/>
          <w:sz w:val="15"/>
          <w:szCs w:val="15"/>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40"/>
      </w:cols>
      <w:pgMar w:left="240" w:top="125"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lowerLetter"/>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decimal"/>
      <w:start w:val="2"/>
    </w:lvl>
  </w:abstractNum>
  <w:abstractNum w:abstractNumId="8">
    <w:nsid w:val="1BEFD79F"/>
    <w:multiLevelType w:val="hybridMultilevel"/>
    <w:lvl w:ilvl="0">
      <w:lvlJc w:val="left"/>
      <w:lvlText w:val="%1."/>
      <w:numFmt w:val="decimal"/>
      <w:start w:val="3"/>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1."/>
      <w:numFmt w:val="decimal"/>
      <w:start w:val="7"/>
    </w:lvl>
  </w:abstractNum>
  <w:abstractNum w:abstractNumId="11">
    <w:nsid w:val="4E6AFB66"/>
    <w:multiLevelType w:val="hybridMultilevel"/>
    <w:lvl w:ilvl="0">
      <w:lvlJc w:val="left"/>
      <w:lvlText w:val="%1."/>
      <w:numFmt w:val="decimal"/>
      <w:start w:val="8"/>
    </w:lvl>
  </w:abstractNum>
  <w:abstractNum w:abstractNumId="12">
    <w:nsid w:val="25E45D32"/>
    <w:multiLevelType w:val="hybridMultilevel"/>
    <w:lvl w:ilvl="0">
      <w:lvlJc w:val="left"/>
      <w:lvlText w:val="%1."/>
      <w:numFmt w:val="decimal"/>
      <w:start w:val="11"/>
    </w:lvl>
  </w:abstractNum>
  <w:abstractNum w:abstractNumId="13">
    <w:nsid w:val="519B500D"/>
    <w:multiLevelType w:val="hybridMultilevel"/>
    <w:lvl w:ilvl="0">
      <w:lvlJc w:val="left"/>
      <w:lvlText w:val="%1."/>
      <w:numFmt w:val="decimal"/>
      <w:start w:val="12"/>
    </w:lvl>
  </w:abstractNum>
  <w:abstractNum w:abstractNumId="14">
    <w:nsid w:val="431BD7B7"/>
    <w:multiLevelType w:val="hybridMultilevel"/>
    <w:lvl w:ilvl="0">
      <w:lvlJc w:val="left"/>
      <w:lvlText w:val="%1."/>
      <w:numFmt w:val="decimal"/>
      <w:start w:val="14"/>
    </w:lvl>
  </w:abstractNum>
  <w:abstractNum w:abstractNumId="15">
    <w:nsid w:val="3F2DBA31"/>
    <w:multiLevelType w:val="hybridMultilevel"/>
    <w:lvl w:ilvl="0">
      <w:lvlJc w:val="left"/>
      <w:lvlText w:val="(%1)"/>
      <w:numFmt w:val="decimal"/>
      <w:start w:val="1"/>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2019-12-05T09:50:41Z</dcterms:created>
  <dcterms:modified xsi:type="dcterms:W3CDTF">2019-12-05T09:50:41Z</dcterms:modified>
</cp:coreProperties>
</file>